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方正小标宋简体" w:hAnsi="方正小标宋简体" w:eastAsia="方正小标宋简体" w:cs="方正小标宋简体"/>
          <w:kern w:val="2"/>
          <w:sz w:val="72"/>
          <w:szCs w:val="24"/>
          <w:lang w:val="zh-CN"/>
        </w:rPr>
      </w:pPr>
    </w:p>
    <w:p>
      <w:pPr>
        <w:spacing w:line="360" w:lineRule="auto"/>
        <w:jc w:val="both"/>
        <w:rPr>
          <w:rFonts w:hint="eastAsia" w:ascii="方正小标宋简体" w:hAnsi="方正小标宋简体" w:eastAsia="方正小标宋简体" w:cs="方正小标宋简体"/>
          <w:kern w:val="2"/>
          <w:sz w:val="72"/>
          <w:szCs w:val="24"/>
          <w:lang w:val="zh-CN"/>
        </w:rPr>
      </w:pPr>
    </w:p>
    <w:p>
      <w:pPr>
        <w:spacing w:line="360" w:lineRule="auto"/>
        <w:jc w:val="center"/>
        <w:rPr>
          <w:rFonts w:hint="eastAsia" w:ascii="方正小标宋简体" w:hAnsi="方正小标宋简体" w:eastAsia="方正小标宋简体" w:cs="方正小标宋简体"/>
          <w:kern w:val="2"/>
          <w:sz w:val="72"/>
          <w:szCs w:val="24"/>
          <w:lang w:val="zh-CN"/>
        </w:rPr>
      </w:pPr>
      <w:r>
        <w:rPr>
          <w:rFonts w:hint="eastAsia" w:ascii="方正小标宋简体" w:hAnsi="方正小标宋简体" w:eastAsia="方正小标宋简体" w:cs="方正小标宋简体"/>
          <w:kern w:val="2"/>
          <w:sz w:val="72"/>
          <w:szCs w:val="24"/>
          <w:lang w:val="zh-CN"/>
        </w:rPr>
        <w:t>2022年度</w:t>
      </w:r>
    </w:p>
    <w:p>
      <w:pPr>
        <w:spacing w:line="360" w:lineRule="auto"/>
        <w:jc w:val="center"/>
        <w:rPr>
          <w:rFonts w:hint="eastAsia" w:ascii="仿宋" w:hAnsi="仿宋" w:eastAsia="仿宋" w:cs="仿宋"/>
          <w:kern w:val="2"/>
          <w:sz w:val="72"/>
          <w:szCs w:val="24"/>
          <w:lang w:val="zh-CN"/>
        </w:rPr>
      </w:pPr>
      <w:r>
        <w:rPr>
          <w:rFonts w:hint="eastAsia" w:ascii="方正小标宋简体" w:hAnsi="方正小标宋简体" w:eastAsia="方正小标宋简体" w:cs="方正小标宋简体"/>
          <w:kern w:val="2"/>
          <w:sz w:val="72"/>
          <w:szCs w:val="24"/>
          <w:lang w:val="zh-CN"/>
        </w:rPr>
        <w:t>泸县总工会</w:t>
      </w:r>
      <w:r>
        <w:rPr>
          <w:rFonts w:hint="eastAsia" w:ascii="方正小标宋简体" w:hAnsi="方正小标宋简体" w:eastAsia="方正小标宋简体" w:cs="方正小标宋简体"/>
          <w:kern w:val="2"/>
          <w:sz w:val="72"/>
          <w:szCs w:val="24"/>
          <w:lang w:val="zh-CN" w:eastAsia="zh-CN"/>
        </w:rPr>
        <w:t>部门</w:t>
      </w:r>
      <w:r>
        <w:rPr>
          <w:rFonts w:hint="eastAsia" w:ascii="方正小标宋简体" w:hAnsi="方正小标宋简体" w:eastAsia="方正小标宋简体" w:cs="方正小标宋简体"/>
          <w:kern w:val="2"/>
          <w:sz w:val="72"/>
          <w:szCs w:val="24"/>
          <w:lang w:val="zh-CN"/>
        </w:rPr>
        <w:t>决算</w:t>
      </w:r>
    </w:p>
    <w:p>
      <w:pPr>
        <w:keepNext/>
        <w:keepLines/>
        <w:tabs>
          <w:tab w:val="right" w:leader="dot" w:pos="8296"/>
        </w:tabs>
        <w:spacing w:line="576" w:lineRule="exact"/>
        <w:rPr>
          <w:rFonts w:hint="eastAsia" w:ascii="仿宋" w:hAnsi="仿宋" w:eastAsia="仿宋" w:cs="仿宋"/>
          <w:b/>
          <w:color w:val="FF0000"/>
          <w:kern w:val="2"/>
          <w:sz w:val="48"/>
          <w:szCs w:val="24"/>
          <w:lang w:val="zh-CN"/>
        </w:rPr>
      </w:pPr>
    </w:p>
    <w:p>
      <w:pPr>
        <w:jc w:val="center"/>
        <w:rPr>
          <w:rFonts w:hint="eastAsia" w:ascii="仿宋" w:hAnsi="仿宋" w:eastAsia="仿宋" w:cs="仿宋"/>
          <w:color w:val="auto"/>
          <w:kern w:val="2"/>
          <w:sz w:val="48"/>
          <w:szCs w:val="24"/>
          <w:lang w:val="zh-CN"/>
        </w:rPr>
      </w:pPr>
    </w:p>
    <w:p>
      <w:pPr>
        <w:jc w:val="center"/>
        <w:rPr>
          <w:rFonts w:hint="eastAsia" w:ascii="仿宋" w:hAnsi="仿宋" w:eastAsia="仿宋" w:cs="仿宋"/>
          <w:color w:val="auto"/>
          <w:kern w:val="2"/>
          <w:sz w:val="48"/>
          <w:szCs w:val="24"/>
          <w:lang w:val="zh-CN"/>
        </w:rPr>
      </w:pPr>
    </w:p>
    <w:p>
      <w:pPr>
        <w:jc w:val="center"/>
        <w:rPr>
          <w:rFonts w:hint="eastAsia" w:ascii="仿宋" w:hAnsi="仿宋" w:eastAsia="仿宋" w:cs="仿宋"/>
          <w:color w:val="auto"/>
          <w:kern w:val="2"/>
          <w:sz w:val="48"/>
          <w:szCs w:val="24"/>
          <w:lang w:val="zh-CN"/>
        </w:rPr>
      </w:pPr>
    </w:p>
    <w:p>
      <w:pPr>
        <w:jc w:val="center"/>
        <w:rPr>
          <w:rFonts w:hint="eastAsia" w:ascii="仿宋" w:hAnsi="仿宋" w:eastAsia="仿宋" w:cs="仿宋"/>
          <w:color w:val="auto"/>
          <w:kern w:val="2"/>
          <w:sz w:val="48"/>
          <w:szCs w:val="24"/>
          <w:lang w:val="zh-CN"/>
        </w:rPr>
      </w:pPr>
    </w:p>
    <w:p>
      <w:pPr>
        <w:jc w:val="center"/>
        <w:rPr>
          <w:rFonts w:hint="eastAsia" w:ascii="仿宋" w:hAnsi="仿宋" w:eastAsia="仿宋" w:cs="仿宋"/>
          <w:color w:val="auto"/>
          <w:kern w:val="2"/>
          <w:sz w:val="48"/>
          <w:szCs w:val="24"/>
          <w:lang w:val="zh-CN"/>
        </w:rPr>
      </w:pPr>
    </w:p>
    <w:p>
      <w:pPr>
        <w:jc w:val="center"/>
        <w:rPr>
          <w:rFonts w:hint="eastAsia" w:ascii="仿宋" w:hAnsi="仿宋" w:eastAsia="仿宋" w:cs="仿宋"/>
          <w:color w:val="auto"/>
          <w:kern w:val="2"/>
          <w:sz w:val="48"/>
          <w:szCs w:val="24"/>
          <w:lang w:val="zh-CN"/>
        </w:rPr>
      </w:pPr>
    </w:p>
    <w:p>
      <w:pPr>
        <w:jc w:val="center"/>
        <w:rPr>
          <w:rFonts w:hint="eastAsia" w:ascii="仿宋" w:hAnsi="仿宋" w:eastAsia="仿宋" w:cs="仿宋"/>
          <w:color w:val="auto"/>
          <w:kern w:val="2"/>
          <w:sz w:val="48"/>
          <w:szCs w:val="24"/>
          <w:lang w:val="zh-CN"/>
        </w:rPr>
      </w:pPr>
    </w:p>
    <w:p>
      <w:pPr>
        <w:jc w:val="center"/>
        <w:rPr>
          <w:rFonts w:hint="eastAsia" w:ascii="仿宋" w:hAnsi="仿宋" w:eastAsia="仿宋" w:cs="仿宋"/>
          <w:color w:val="auto"/>
          <w:kern w:val="2"/>
          <w:sz w:val="48"/>
          <w:szCs w:val="24"/>
          <w:lang w:val="zh-CN"/>
        </w:rPr>
      </w:pPr>
    </w:p>
    <w:p>
      <w:pPr>
        <w:jc w:val="center"/>
        <w:rPr>
          <w:rFonts w:hint="eastAsia" w:ascii="仿宋" w:hAnsi="仿宋" w:eastAsia="仿宋" w:cs="仿宋"/>
          <w:color w:val="auto"/>
          <w:kern w:val="2"/>
          <w:sz w:val="48"/>
          <w:szCs w:val="24"/>
          <w:lang w:val="zh-CN"/>
        </w:rPr>
      </w:pPr>
    </w:p>
    <w:p>
      <w:pPr>
        <w:jc w:val="center"/>
        <w:rPr>
          <w:rFonts w:hint="eastAsia" w:ascii="仿宋" w:hAnsi="仿宋" w:eastAsia="仿宋" w:cs="仿宋"/>
          <w:color w:val="auto"/>
          <w:kern w:val="2"/>
          <w:sz w:val="48"/>
          <w:szCs w:val="24"/>
          <w:lang w:val="zh-CN"/>
        </w:rPr>
      </w:pPr>
    </w:p>
    <w:p>
      <w:pPr>
        <w:jc w:val="center"/>
        <w:rPr>
          <w:rFonts w:hint="eastAsia" w:ascii="仿宋" w:hAnsi="仿宋" w:eastAsia="仿宋" w:cs="仿宋"/>
          <w:color w:val="auto"/>
          <w:kern w:val="2"/>
          <w:sz w:val="48"/>
          <w:szCs w:val="24"/>
          <w:lang w:val="zh-CN"/>
        </w:rPr>
      </w:pPr>
    </w:p>
    <w:p>
      <w:pPr>
        <w:jc w:val="center"/>
        <w:rPr>
          <w:rFonts w:hint="eastAsia" w:ascii="仿宋" w:hAnsi="仿宋" w:eastAsia="仿宋" w:cs="仿宋"/>
          <w:color w:val="auto"/>
          <w:kern w:val="2"/>
          <w:sz w:val="48"/>
          <w:szCs w:val="24"/>
          <w:lang w:val="zh-CN"/>
        </w:rPr>
      </w:pPr>
    </w:p>
    <w:p>
      <w:pPr>
        <w:jc w:val="both"/>
        <w:rPr>
          <w:rFonts w:hint="eastAsia" w:ascii="仿宋" w:hAnsi="仿宋" w:eastAsia="仿宋" w:cs="仿宋"/>
          <w:color w:val="auto"/>
          <w:kern w:val="2"/>
          <w:sz w:val="48"/>
          <w:szCs w:val="24"/>
          <w:lang w:val="zh-CN"/>
        </w:rPr>
      </w:pPr>
    </w:p>
    <w:p>
      <w:pPr>
        <w:jc w:val="center"/>
        <w:rPr>
          <w:rFonts w:hint="eastAsia" w:ascii="黑体" w:hAnsi="黑体" w:eastAsia="黑体" w:cs="黑体"/>
          <w:color w:val="auto"/>
          <w:kern w:val="2"/>
          <w:sz w:val="48"/>
          <w:szCs w:val="24"/>
          <w:lang w:val="zh-CN"/>
        </w:rPr>
      </w:pPr>
      <w:r>
        <w:rPr>
          <w:rFonts w:hint="eastAsia" w:ascii="黑体" w:hAnsi="黑体" w:eastAsia="黑体" w:cs="黑体"/>
          <w:color w:val="auto"/>
          <w:kern w:val="2"/>
          <w:sz w:val="48"/>
          <w:szCs w:val="24"/>
          <w:lang w:val="zh-CN"/>
        </w:rPr>
        <w:t>目录</w:t>
      </w:r>
    </w:p>
    <w:p>
      <w:pPr>
        <w:jc w:val="center"/>
        <w:rPr>
          <w:rFonts w:hint="eastAsia" w:ascii="仿宋" w:hAnsi="仿宋" w:eastAsia="仿宋" w:cs="仿宋"/>
          <w:color w:val="auto"/>
          <w:kern w:val="2"/>
          <w:sz w:val="28"/>
          <w:szCs w:val="24"/>
          <w:lang w:val="zh-CN"/>
        </w:rPr>
      </w:pPr>
    </w:p>
    <w:p>
      <w:pPr>
        <w:tabs>
          <w:tab w:val="right" w:leader="dot" w:pos="8296"/>
        </w:tabs>
        <w:spacing w:before="93"/>
        <w:jc w:val="center"/>
        <w:rPr>
          <w:rFonts w:hint="eastAsia" w:ascii="仿宋" w:hAnsi="仿宋" w:eastAsia="仿宋" w:cs="仿宋"/>
          <w:color w:val="auto"/>
          <w:kern w:val="2"/>
          <w:sz w:val="21"/>
          <w:szCs w:val="24"/>
          <w:lang w:val="zh-CN"/>
        </w:rPr>
      </w:pPr>
      <w:r>
        <w:rPr>
          <w:rFonts w:hint="eastAsia" w:ascii="仿宋" w:hAnsi="仿宋" w:eastAsia="仿宋" w:cs="仿宋"/>
          <w:color w:val="auto"/>
          <w:kern w:val="2"/>
          <w:sz w:val="28"/>
          <w:szCs w:val="24"/>
          <w:lang w:val="zh-CN"/>
        </w:rPr>
        <w:t>公开时间：2023年</w:t>
      </w:r>
      <w:r>
        <w:rPr>
          <w:rFonts w:hint="eastAsia" w:ascii="仿宋" w:hAnsi="仿宋" w:cs="仿宋"/>
          <w:color w:val="auto"/>
          <w:kern w:val="2"/>
          <w:sz w:val="28"/>
          <w:szCs w:val="24"/>
          <w:lang w:val="en-US" w:eastAsia="zh-CN"/>
        </w:rPr>
        <w:t>10</w:t>
      </w:r>
      <w:r>
        <w:rPr>
          <w:rFonts w:hint="eastAsia" w:ascii="仿宋" w:hAnsi="仿宋" w:eastAsia="仿宋" w:cs="仿宋"/>
          <w:color w:val="auto"/>
          <w:kern w:val="2"/>
          <w:sz w:val="28"/>
          <w:szCs w:val="24"/>
          <w:lang w:val="zh-CN"/>
        </w:rPr>
        <w:t>月</w:t>
      </w:r>
      <w:r>
        <w:rPr>
          <w:rFonts w:hint="eastAsia" w:ascii="仿宋" w:hAnsi="仿宋" w:cs="仿宋"/>
          <w:color w:val="auto"/>
          <w:kern w:val="2"/>
          <w:sz w:val="28"/>
          <w:szCs w:val="24"/>
          <w:lang w:val="en-US" w:eastAsia="zh-CN"/>
        </w:rPr>
        <w:t>13</w:t>
      </w:r>
      <w:r>
        <w:rPr>
          <w:rFonts w:hint="eastAsia" w:ascii="仿宋" w:hAnsi="仿宋" w:eastAsia="仿宋" w:cs="仿宋"/>
          <w:color w:val="auto"/>
          <w:kern w:val="2"/>
          <w:sz w:val="28"/>
          <w:szCs w:val="24"/>
          <w:lang w:val="zh-CN"/>
        </w:rPr>
        <w:t>日</w:t>
      </w:r>
    </w:p>
    <w:sdt>
      <w:sdtPr>
        <w:rPr>
          <w:rFonts w:hint="default" w:ascii="宋体" w:hAnsi="宋体" w:eastAsia="宋体" w:cs="Times New Roman"/>
          <w:sz w:val="21"/>
          <w:szCs w:val="24"/>
        </w:rPr>
        <w:id w:val="147468263"/>
        <w15:color w:val="DBDBDB"/>
        <w:docPartObj>
          <w:docPartGallery w:val="Table of Contents"/>
          <w:docPartUnique/>
        </w:docPartObj>
      </w:sdtPr>
      <w:sdtEndPr>
        <w:rPr>
          <w:rFonts w:hint="default" w:ascii="宋体" w:hAnsi="宋体" w:eastAsia="宋体" w:cs="Times New Roman"/>
          <w:b/>
          <w:sz w:val="21"/>
          <w:szCs w:val="24"/>
        </w:rPr>
      </w:sdtEndPr>
      <w:sdtContent>
        <w:p>
          <w:pPr>
            <w:spacing w:before="0" w:beforeLines="0" w:after="0" w:afterLines="0" w:line="240" w:lineRule="auto"/>
            <w:ind w:left="0" w:leftChars="0" w:right="0" w:rightChars="0" w:firstLine="0" w:firstLineChars="0"/>
            <w:jc w:val="center"/>
          </w:pPr>
        </w:p>
        <w:p>
          <w:pPr>
            <w:pStyle w:val="12"/>
            <w:tabs>
              <w:tab w:val="right" w:leader="dot" w:pos="9184"/>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"1-2" \h \u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_Toc32757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第一部分 单位概况</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_Toc32757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_Toc19724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一、主要职责</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_Toc19724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_Toc29588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二、机构设置</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_Toc29588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2"/>
            <w:tabs>
              <w:tab w:val="right" w:leader="dot" w:pos="9184"/>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_Toc30467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第二部分 2022年度单位决算情况说明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_Toc30467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_Toc26191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一、收入支出决算总体情况说明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_Toc26191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_Toc20370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二、收入决算情况说明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_Toc20370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_Toc17028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三、支出决算情况说明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_Toc17028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_Toc8432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eastAsia="zh-CN"/>
            </w:rPr>
            <w:t>四、</w:t>
          </w:r>
          <w:r>
            <w:rPr>
              <w:rFonts w:hint="eastAsia" w:ascii="宋体" w:hAnsi="宋体" w:eastAsia="宋体" w:cs="宋体"/>
              <w:b w:val="0"/>
              <w:bCs w:val="0"/>
              <w:sz w:val="24"/>
              <w:szCs w:val="24"/>
              <w:lang w:val="zh-CN"/>
            </w:rPr>
            <w:t>财政拨款收入支出决算总体情况说明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_Toc8432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_Toc21909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五、一般公共预算财政拨款支出决算情况说明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_Toc21909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_Toc9941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六、一般公共预算财政拨款基本支出决算情况说明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_Toc9941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_Toc2232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kern w:val="2"/>
              <w:sz w:val="24"/>
              <w:szCs w:val="24"/>
              <w:lang w:val="zh-CN"/>
            </w:rPr>
            <w:t>七、“三公”经费财政拨款支出决算情况说明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_Toc2232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_Toc14487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八、政府性基金预算支出决算情况说明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_Toc14487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_Toc13628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九、国有资本经营预算支出决算情况说明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_Toc13628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_Toc26127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十、其他重要事项的情况说明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_Toc26127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2"/>
            <w:tabs>
              <w:tab w:val="right" w:leader="dot" w:pos="9184"/>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_Toc18737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第三部分</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zh-CN"/>
            </w:rPr>
            <w:t>名词解释</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_Toc18737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2"/>
            <w:tabs>
              <w:tab w:val="right" w:leader="dot" w:pos="9184"/>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_Toc8823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rPr>
            <w:t>第四部分 附件</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_Toc8823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2"/>
            <w:tabs>
              <w:tab w:val="right" w:leader="dot" w:pos="9184"/>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_Toc15375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eastAsia="zh-CN"/>
            </w:rPr>
            <w:t>第五部分 附表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_Toc15375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_Toc13060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val="en-US"/>
            </w:rPr>
            <w:t>收入支出决算表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_Toc13060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_Toc31532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rPr>
            <w:t>二、收入决算表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_Toc31532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_Toc23249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rPr>
            <w:t>三、支出决算表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_Toc23249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_Toc5625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rPr>
            <w:t>四、财政拨款收入支出决算总表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_Toc5625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_Toc3822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en-US" w:eastAsia="zh-CN"/>
            </w:rPr>
            <w:t>五、</w:t>
          </w:r>
          <w:r>
            <w:rPr>
              <w:rFonts w:hint="eastAsia" w:ascii="宋体" w:hAnsi="宋体" w:eastAsia="宋体" w:cs="宋体"/>
              <w:b w:val="0"/>
              <w:bCs w:val="0"/>
              <w:sz w:val="24"/>
              <w:szCs w:val="24"/>
              <w:lang w:val="en-US"/>
            </w:rPr>
            <w:t>财政拨款支出决算明细表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_Toc3822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_Toc15032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六、一般公共预算财政拨款支出决算表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_Toc15032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_Toc29068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七、一般公共预算财政拨款支出决算明细表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_Toc29068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_Toc25577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八、一般公共预算财政拨款基本支出决算</w:t>
          </w:r>
          <w:r>
            <w:rPr>
              <w:rFonts w:hint="eastAsia" w:ascii="宋体" w:hAnsi="宋体" w:eastAsia="宋体" w:cs="宋体"/>
              <w:b w:val="0"/>
              <w:bCs w:val="0"/>
              <w:sz w:val="24"/>
              <w:szCs w:val="24"/>
              <w:lang w:eastAsia="zh-CN"/>
            </w:rPr>
            <w:t>明细</w:t>
          </w:r>
          <w:r>
            <w:rPr>
              <w:rFonts w:hint="eastAsia" w:ascii="宋体" w:hAnsi="宋体" w:eastAsia="宋体" w:cs="宋体"/>
              <w:b w:val="0"/>
              <w:bCs w:val="0"/>
              <w:sz w:val="24"/>
              <w:szCs w:val="24"/>
            </w:rPr>
            <w:t>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_Toc25577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_Toc14329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九、一般公共预算财政拨款项目支出决算表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_Toc14329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_Toc11075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十、政府性基金预算财政拨款收入支出决算表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_Toc11075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_Toc28710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十一、国有资本经营预算财政拨款收入支出决算表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_Toc28710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_Toc15779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十二、</w:t>
          </w:r>
          <w:r>
            <w:rPr>
              <w:rFonts w:hint="eastAsia" w:ascii="宋体" w:hAnsi="宋体" w:eastAsia="宋体" w:cs="宋体"/>
              <w:b w:val="0"/>
              <w:bCs w:val="0"/>
              <w:sz w:val="24"/>
              <w:szCs w:val="24"/>
              <w:lang w:val="en-US" w:eastAsia="zh-CN"/>
            </w:rPr>
            <w:t>国有资本经营预算财政拨款支出决算表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_Toc15779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9184"/>
              <w:tab w:val="clear" w:pos="8296"/>
            </w:tabs>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_Toc22379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十三、财政拨款“三公”经费支出决算表</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_Toc22379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r>
            <w:rPr>
              <w:rFonts w:hint="eastAsia" w:ascii="宋体" w:hAnsi="宋体" w:eastAsia="宋体" w:cs="宋体"/>
              <w:bCs w:val="0"/>
              <w:szCs w:val="24"/>
            </w:rPr>
            <w:fldChar w:fldCharType="end"/>
          </w:r>
        </w:p>
      </w:sdtContent>
    </w:sdt>
    <w:p>
      <w:pPr>
        <w:pStyle w:val="3"/>
        <w:bidi w:val="0"/>
        <w:rPr>
          <w:rFonts w:hint="eastAsia"/>
          <w:lang w:val="zh-CN"/>
        </w:rPr>
        <w:sectPr>
          <w:headerReference r:id="rId3" w:type="default"/>
          <w:footerReference r:id="rId4" w:type="default"/>
          <w:pgSz w:w="11906" w:h="16838"/>
          <w:pgMar w:top="907" w:right="1361" w:bottom="851" w:left="1361" w:header="851" w:footer="992" w:gutter="0"/>
          <w:lnNumType w:countBy="0" w:distance="360"/>
          <w:pgNumType w:fmt="numberInDash" w:start="1"/>
          <w:cols w:space="720" w:num="1"/>
          <w:docGrid w:type="lines" w:linePitch="435" w:charSpace="0"/>
        </w:sectPr>
      </w:pPr>
      <w:bookmarkStart w:id="0" w:name="_Toc32757"/>
    </w:p>
    <w:p>
      <w:pPr>
        <w:pStyle w:val="3"/>
        <w:bidi w:val="0"/>
        <w:rPr>
          <w:rFonts w:hint="eastAsia"/>
          <w:lang w:val="zh-CN"/>
        </w:rPr>
      </w:pPr>
      <w:r>
        <w:rPr>
          <w:rFonts w:hint="eastAsia"/>
          <w:lang w:val="zh-CN"/>
        </w:rPr>
        <w:t>第一部分 单位概况</w:t>
      </w:r>
      <w:bookmarkEnd w:id="0"/>
    </w:p>
    <w:p>
      <w:pPr>
        <w:pStyle w:val="4"/>
        <w:bidi w:val="0"/>
        <w:rPr>
          <w:rFonts w:hint="eastAsia"/>
          <w:lang w:val="zh-CN"/>
        </w:rPr>
      </w:pPr>
      <w:bookmarkStart w:id="1" w:name="_Toc19724"/>
      <w:r>
        <w:rPr>
          <w:rFonts w:hint="eastAsia"/>
          <w:lang w:val="zh-CN"/>
        </w:rPr>
        <w:t>一、主要职责</w:t>
      </w:r>
      <w:bookmarkEnd w:id="1"/>
    </w:p>
    <w:p>
      <w:pPr>
        <w:spacing w:line="600" w:lineRule="exact"/>
        <w:ind w:firstLine="643" w:firstLineChars="200"/>
        <w:outlineLvl w:val="2"/>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（一）主要职能</w:t>
      </w:r>
    </w:p>
    <w:p>
      <w:pPr>
        <w:pStyle w:val="2"/>
        <w:bidi w:val="0"/>
        <w:ind w:firstLine="640" w:firstLineChars="200"/>
        <w:rPr>
          <w:rFonts w:hint="eastAsia"/>
          <w:lang w:val="en-US" w:eastAsia="zh-CN"/>
        </w:rPr>
      </w:pPr>
      <w:r>
        <w:rPr>
          <w:rFonts w:hint="eastAsia"/>
          <w:lang w:val="en-US" w:eastAsia="zh-CN"/>
        </w:rPr>
        <w:t>1.贯彻执行党的路线、方针、政策，根据县委、市总工会的部署，结合泸县实际，确定工会工作的指导思想、目标和任务，指导全县工会工作。</w:t>
      </w:r>
    </w:p>
    <w:p>
      <w:pPr>
        <w:pStyle w:val="2"/>
        <w:bidi w:val="0"/>
        <w:ind w:firstLine="640" w:firstLineChars="200"/>
        <w:rPr>
          <w:rFonts w:hint="eastAsia"/>
          <w:lang w:val="en-US" w:eastAsia="zh-CN"/>
        </w:rPr>
      </w:pPr>
      <w:r>
        <w:rPr>
          <w:rFonts w:hint="eastAsia"/>
          <w:lang w:val="en-US" w:eastAsia="zh-CN"/>
        </w:rPr>
        <w:t>2.依照法律和章程，组织和指导各级工会履行工会的各项职能，贯彻执行泸县工会代表大会的决议，开展工会各项业务工作；根据基层工会和下级工会的要求，与有关方面协商解决有关问题。</w:t>
      </w:r>
    </w:p>
    <w:p>
      <w:pPr>
        <w:pStyle w:val="2"/>
        <w:bidi w:val="0"/>
        <w:ind w:firstLine="640" w:firstLineChars="200"/>
        <w:rPr>
          <w:rFonts w:hint="eastAsia"/>
          <w:lang w:val="en-US" w:eastAsia="zh-CN"/>
        </w:rPr>
      </w:pPr>
      <w:r>
        <w:rPr>
          <w:rFonts w:hint="eastAsia"/>
          <w:lang w:val="en-US" w:eastAsia="zh-CN"/>
        </w:rPr>
        <w:t>3.对有关职工利益的重大问题进行调查研究，向县委、县政府和市总工会反映职工的愿望和要求，并提出意见和建议，参与涉及职工切身利益的有关政策、措施和制度的制定。</w:t>
      </w:r>
    </w:p>
    <w:p>
      <w:pPr>
        <w:pStyle w:val="2"/>
        <w:bidi w:val="0"/>
        <w:ind w:firstLine="640" w:firstLineChars="200"/>
        <w:rPr>
          <w:rFonts w:hint="eastAsia"/>
          <w:lang w:val="en-US" w:eastAsia="zh-CN"/>
        </w:rPr>
      </w:pPr>
      <w:r>
        <w:rPr>
          <w:rFonts w:hint="eastAsia"/>
          <w:lang w:val="en-US" w:eastAsia="zh-CN"/>
        </w:rPr>
        <w:t>4.指导各级工会加强自身建设和改革，监督检查《中国工会章程》的贯彻执行，按照县委和市总工会的要求，研究制定工会的各项组织制度和民主制度。</w:t>
      </w:r>
    </w:p>
    <w:p>
      <w:pPr>
        <w:pStyle w:val="2"/>
        <w:bidi w:val="0"/>
        <w:ind w:firstLine="640" w:firstLineChars="200"/>
        <w:rPr>
          <w:rFonts w:hint="eastAsia"/>
          <w:lang w:val="en-US" w:eastAsia="zh-CN"/>
        </w:rPr>
      </w:pPr>
      <w:r>
        <w:rPr>
          <w:rFonts w:hint="eastAsia"/>
          <w:lang w:val="en-US" w:eastAsia="zh-CN"/>
        </w:rPr>
        <w:t>5.同县级有关部门党组（党委）协商推荐机关工会、机关工委和县级产业工会的主要领导人选，加强领导班子建设；研究制定工会干部的管理制度和培训计划，加强工会干部队伍建设。</w:t>
      </w:r>
    </w:p>
    <w:p>
      <w:pPr>
        <w:pStyle w:val="2"/>
        <w:bidi w:val="0"/>
        <w:ind w:firstLine="640" w:firstLineChars="200"/>
        <w:rPr>
          <w:rFonts w:hint="eastAsia"/>
          <w:lang w:val="en-US" w:eastAsia="zh-CN"/>
        </w:rPr>
      </w:pPr>
      <w:r>
        <w:rPr>
          <w:rFonts w:hint="eastAsia"/>
          <w:lang w:val="en-US" w:eastAsia="zh-CN"/>
        </w:rPr>
        <w:t>6.协助县政府做好县级以上劳动模范的推荐、评选和管理工作。</w:t>
      </w:r>
    </w:p>
    <w:p>
      <w:pPr>
        <w:pStyle w:val="2"/>
        <w:bidi w:val="0"/>
        <w:ind w:firstLine="640" w:firstLineChars="200"/>
        <w:rPr>
          <w:rFonts w:hint="eastAsia"/>
          <w:lang w:val="en-US" w:eastAsia="zh-CN"/>
        </w:rPr>
      </w:pPr>
      <w:r>
        <w:rPr>
          <w:rFonts w:hint="eastAsia"/>
          <w:lang w:val="en-US" w:eastAsia="zh-CN"/>
        </w:rPr>
        <w:t>7.负责全县工会经费的管理、审查工作；根据上级有关精神，负责全县工会事业发展的指导、协调工作。</w:t>
      </w:r>
    </w:p>
    <w:p>
      <w:pPr>
        <w:pStyle w:val="2"/>
        <w:bidi w:val="0"/>
        <w:ind w:firstLine="640" w:firstLineChars="200"/>
        <w:rPr>
          <w:rFonts w:hint="eastAsia"/>
          <w:lang w:val="zh-CN"/>
        </w:rPr>
      </w:pPr>
      <w:r>
        <w:rPr>
          <w:rFonts w:hint="eastAsia"/>
          <w:lang w:val="en-US" w:eastAsia="zh-CN"/>
        </w:rPr>
        <w:t>8.承办县委、县政府和市总工会交办的其他事宜。</w:t>
      </w:r>
    </w:p>
    <w:p>
      <w:pPr>
        <w:pStyle w:val="4"/>
        <w:bidi w:val="0"/>
        <w:rPr>
          <w:rFonts w:hint="eastAsia"/>
          <w:lang w:val="zh-CN"/>
        </w:rPr>
      </w:pPr>
      <w:bookmarkStart w:id="2" w:name="_Toc29588"/>
      <w:r>
        <w:rPr>
          <w:rFonts w:hint="eastAsia"/>
          <w:lang w:val="zh-CN"/>
        </w:rPr>
        <w:t>二、机构设置</w:t>
      </w:r>
      <w:bookmarkEnd w:id="2"/>
    </w:p>
    <w:p>
      <w:pPr>
        <w:bidi w:val="0"/>
        <w:ind w:firstLine="640" w:firstLineChars="200"/>
        <w:rPr>
          <w:rFonts w:hint="eastAsia"/>
          <w:lang w:val="en-US" w:eastAsia="zh-CN"/>
        </w:rPr>
      </w:pPr>
      <w:r>
        <w:rPr>
          <w:rFonts w:hint="eastAsia"/>
          <w:lang w:val="en-US" w:eastAsia="zh-CN"/>
        </w:rPr>
        <w:t>泸县总工会内设两部一室，下属二级事业单位1个（泸县群团工作中心）。</w:t>
      </w:r>
    </w:p>
    <w:p>
      <w:pPr>
        <w:bidi w:val="0"/>
        <w:ind w:firstLine="960" w:firstLineChars="300"/>
        <w:rPr>
          <w:rFonts w:hint="eastAsia"/>
          <w:lang w:val="zh-CN"/>
        </w:rPr>
      </w:pPr>
      <w:r>
        <w:rPr>
          <w:rFonts w:hint="eastAsia"/>
          <w:lang w:val="en-US" w:eastAsia="zh-CN"/>
        </w:rPr>
        <w:t>泸县总工会总编制数19名，其中行政编制7名，事业编制12名（泸县群团工作中心）。在职人员总数19名，其中：行政人员7名，事业人员12名；退休人员5名。</w:t>
      </w:r>
    </w:p>
    <w:p>
      <w:pPr>
        <w:pStyle w:val="3"/>
        <w:bidi w:val="0"/>
        <w:rPr>
          <w:rFonts w:hint="eastAsia" w:ascii="仿宋" w:hAnsi="仿宋" w:eastAsia="仿宋" w:cs="仿宋"/>
          <w:b/>
          <w:color w:val="auto"/>
          <w:kern w:val="44"/>
          <w:szCs w:val="24"/>
          <w:lang w:val="zh-CN"/>
        </w:rPr>
      </w:pPr>
      <w:bookmarkStart w:id="3" w:name="_Toc30467"/>
      <w:r>
        <w:rPr>
          <w:rFonts w:hint="eastAsia"/>
          <w:lang w:val="zh-CN"/>
        </w:rPr>
        <w:t>第二部分 2022年度单位决算情况说明</w:t>
      </w:r>
      <w:bookmarkEnd w:id="3"/>
    </w:p>
    <w:p>
      <w:pPr>
        <w:keepNext/>
        <w:keepLines/>
        <w:spacing w:line="576" w:lineRule="exact"/>
        <w:jc w:val="both"/>
        <w:outlineLvl w:val="1"/>
        <w:rPr>
          <w:rStyle w:val="21"/>
          <w:rFonts w:hint="eastAsia"/>
          <w:lang w:val="zh-CN"/>
        </w:rPr>
      </w:pPr>
      <w:bookmarkStart w:id="4" w:name="_Toc26191"/>
      <w:r>
        <w:rPr>
          <w:rStyle w:val="21"/>
          <w:rFonts w:hint="eastAsia"/>
          <w:lang w:val="zh-CN"/>
        </w:rPr>
        <w:t>一、收入支出决算总体情况说明</w:t>
      </w:r>
      <w:bookmarkEnd w:id="4"/>
    </w:p>
    <w:p>
      <w:pPr>
        <w:keepNext/>
        <w:keepLines/>
        <w:spacing w:line="576" w:lineRule="exact"/>
        <w:ind w:firstLine="640"/>
        <w:jc w:val="both"/>
        <w:rPr>
          <w:rFonts w:hint="eastAsia" w:ascii="仿宋" w:hAnsi="仿宋" w:eastAsia="仿宋" w:cs="仿宋"/>
          <w:color w:val="auto"/>
          <w:kern w:val="2"/>
          <w:sz w:val="32"/>
          <w:szCs w:val="24"/>
          <w:lang w:val="en-US"/>
        </w:rPr>
      </w:pPr>
      <w:r>
        <w:rPr>
          <w:rFonts w:hint="eastAsia" w:ascii="仿宋" w:hAnsi="仿宋" w:eastAsia="仿宋" w:cs="仿宋"/>
          <w:color w:val="000000"/>
          <w:kern w:val="2"/>
          <w:sz w:val="32"/>
          <w:szCs w:val="24"/>
          <w:lang w:val="zh-CN"/>
        </w:rPr>
        <w:t>2022年度收、支总计447.74万元。与2021年相比，收、支总计</w:t>
      </w:r>
      <w:r>
        <w:rPr>
          <w:rFonts w:hint="eastAsia" w:ascii="仿宋" w:hAnsi="仿宋" w:eastAsia="仿宋" w:cs="仿宋"/>
          <w:color w:val="000000"/>
          <w:kern w:val="2"/>
          <w:sz w:val="32"/>
          <w:szCs w:val="24"/>
          <w:lang w:val="en-US" w:eastAsia="zh-CN"/>
        </w:rPr>
        <w:t>增加23.14</w:t>
      </w:r>
      <w:r>
        <w:rPr>
          <w:rFonts w:hint="eastAsia" w:ascii="仿宋" w:hAnsi="仿宋" w:eastAsia="仿宋" w:cs="仿宋"/>
          <w:color w:val="000000"/>
          <w:kern w:val="2"/>
          <w:sz w:val="32"/>
          <w:szCs w:val="24"/>
          <w:lang w:val="zh-CN"/>
        </w:rPr>
        <w:t>万元，增长</w:t>
      </w:r>
      <w:r>
        <w:rPr>
          <w:rFonts w:hint="eastAsia" w:ascii="仿宋" w:hAnsi="仿宋" w:eastAsia="仿宋" w:cs="仿宋"/>
          <w:color w:val="000000"/>
          <w:kern w:val="2"/>
          <w:sz w:val="32"/>
          <w:szCs w:val="24"/>
          <w:lang w:val="en-US" w:eastAsia="zh-CN"/>
        </w:rPr>
        <w:t>5.45</w:t>
      </w:r>
      <w:r>
        <w:rPr>
          <w:rFonts w:hint="eastAsia" w:ascii="仿宋" w:hAnsi="仿宋" w:eastAsia="仿宋" w:cs="仿宋"/>
          <w:color w:val="000000"/>
          <w:kern w:val="2"/>
          <w:sz w:val="32"/>
          <w:szCs w:val="24"/>
          <w:lang w:val="zh-CN"/>
        </w:rPr>
        <w:t>%。主要变动原因</w:t>
      </w:r>
      <w:r>
        <w:rPr>
          <w:rFonts w:hint="eastAsia" w:ascii="仿宋" w:hAnsi="仿宋" w:eastAsia="仿宋" w:cs="仿宋"/>
          <w:color w:val="000000"/>
          <w:kern w:val="2"/>
          <w:sz w:val="32"/>
          <w:szCs w:val="24"/>
          <w:lang w:val="en-US" w:eastAsia="zh-CN"/>
        </w:rPr>
        <w:t>是工作经费的增加</w:t>
      </w:r>
      <w:r>
        <w:rPr>
          <w:rFonts w:hint="eastAsia" w:ascii="仿宋" w:hAnsi="仿宋" w:eastAsia="仿宋" w:cs="仿宋"/>
          <w:color w:val="000000"/>
          <w:kern w:val="2"/>
          <w:sz w:val="32"/>
          <w:szCs w:val="24"/>
          <w:lang w:val="zh-CN"/>
        </w:rPr>
        <w:t>。</w:t>
      </w:r>
    </w:p>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仿宋" w:hAnsi="仿宋" w:eastAsia="仿宋" w:cs="仿宋"/>
          <w:color w:val="auto"/>
          <w:kern w:val="2"/>
          <w:sz w:val="32"/>
          <w:szCs w:val="24"/>
          <w:lang w:val="en-US"/>
        </w:rPr>
      </w:pPr>
      <w:r>
        <w:rPr>
          <w:rFonts w:hint="default" w:ascii="仿宋" w:hAnsi="仿宋" w:eastAsia="仿宋" w:cs="仿宋"/>
          <w:sz w:val="30"/>
          <w:szCs w:val="24"/>
        </w:rPr>
        <w:drawing>
          <wp:inline distT="0" distB="0" distL="114300" distR="114300">
            <wp:extent cx="3675380" cy="2093595"/>
            <wp:effectExtent l="0" t="0" r="12700" b="9525"/>
            <wp:docPr id="1"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表 1"/>
                    <pic:cNvPicPr>
                      <a:picLocks noChangeAspect="1"/>
                    </pic:cNvPicPr>
                  </pic:nvPicPr>
                  <pic:blipFill>
                    <a:blip r:embed="rId7"/>
                    <a:stretch>
                      <a:fillRect/>
                    </a:stretch>
                  </pic:blipFill>
                  <pic:spPr>
                    <a:xfrm>
                      <a:off x="0" y="0"/>
                      <a:ext cx="3675380" cy="2093595"/>
                    </a:xfrm>
                    <a:prstGeom prst="rect">
                      <a:avLst/>
                    </a:prstGeom>
                    <a:noFill/>
                    <a:ln>
                      <a:noFill/>
                    </a:ln>
                  </pic:spPr>
                </pic:pic>
              </a:graphicData>
            </a:graphic>
          </wp:inline>
        </w:drawing>
      </w:r>
    </w:p>
    <w:p>
      <w:pPr>
        <w:spacing w:line="600" w:lineRule="exact"/>
        <w:ind w:firstLine="640" w:firstLineChars="200"/>
        <w:jc w:val="center"/>
        <w:rPr>
          <w:rFonts w:hint="eastAsia"/>
          <w:sz w:val="30"/>
          <w:szCs w:val="24"/>
          <w:lang w:val="en-US"/>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4"/>
        <w:numPr>
          <w:ilvl w:val="0"/>
          <w:numId w:val="1"/>
        </w:numPr>
        <w:bidi w:val="0"/>
        <w:rPr>
          <w:rFonts w:hint="eastAsia"/>
          <w:lang w:val="zh-CN"/>
        </w:rPr>
      </w:pPr>
      <w:bookmarkStart w:id="5" w:name="_Toc20370"/>
      <w:r>
        <w:rPr>
          <w:rFonts w:hint="eastAsia"/>
          <w:lang w:val="zh-CN"/>
        </w:rPr>
        <w:t>收入决算情况说明</w:t>
      </w:r>
      <w:bookmarkEnd w:id="5"/>
    </w:p>
    <w:p>
      <w:pPr>
        <w:bidi w:val="0"/>
        <w:ind w:firstLine="640" w:firstLineChars="200"/>
        <w:rPr>
          <w:rFonts w:hint="eastAsia"/>
          <w:lang w:val="zh-CN"/>
        </w:rPr>
      </w:pPr>
      <w:r>
        <w:rPr>
          <w:rFonts w:hint="eastAsia"/>
          <w:lang w:val="zh-CN"/>
        </w:rPr>
        <w:t>2022年本年收入合计436.8</w:t>
      </w:r>
      <w:r>
        <w:rPr>
          <w:rFonts w:hint="eastAsia"/>
          <w:lang w:val="en-US" w:eastAsia="zh-CN"/>
        </w:rPr>
        <w:t>5</w:t>
      </w:r>
      <w:r>
        <w:rPr>
          <w:rFonts w:hint="eastAsia"/>
          <w:lang w:val="zh-CN"/>
        </w:rPr>
        <w:t>万元，其中：一般公共预算财政拨款收入436.85万元，占100%；政府性基金预算财政拨款收入0万元，占0%；国有资本经营预算财政拨款收入0万元，占0%；上级补助收入0万元，占0%；其他收入0万元，占0%。</w:t>
      </w:r>
    </w:p>
    <w:p>
      <w:pPr>
        <w:pStyle w:val="2"/>
        <w:keepNext w:val="0"/>
        <w:keepLines w:val="0"/>
        <w:pageBreakBefore w:val="0"/>
        <w:widowControl w:val="0"/>
        <w:kinsoku/>
        <w:wordWrap/>
        <w:overflowPunct/>
        <w:topLinePunct w:val="0"/>
        <w:autoSpaceDE w:val="0"/>
        <w:autoSpaceDN w:val="0"/>
        <w:bidi w:val="0"/>
        <w:adjustRightInd w:val="0"/>
        <w:snapToGrid w:val="0"/>
        <w:spacing w:before="0" w:beforeLines="0" w:line="240" w:lineRule="auto"/>
        <w:jc w:val="center"/>
        <w:textAlignment w:val="auto"/>
        <w:rPr>
          <w:rFonts w:hint="eastAsia" w:ascii="仿宋" w:hAnsi="仿宋" w:eastAsia="仿宋" w:cs="仿宋"/>
          <w:sz w:val="30"/>
          <w:szCs w:val="24"/>
          <w:lang w:val="en-US"/>
        </w:rPr>
      </w:pPr>
      <w:r>
        <w:rPr>
          <w:rFonts w:hint="default" w:ascii="仿宋" w:hAnsi="仿宋" w:eastAsia="仿宋" w:cs="仿宋"/>
          <w:sz w:val="30"/>
          <w:szCs w:val="24"/>
        </w:rPr>
        <w:drawing>
          <wp:inline distT="0" distB="0" distL="114300" distR="114300">
            <wp:extent cx="3243580" cy="2089785"/>
            <wp:effectExtent l="0" t="0" r="2540" b="1333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8"/>
                    <a:stretch>
                      <a:fillRect/>
                    </a:stretch>
                  </pic:blipFill>
                  <pic:spPr>
                    <a:xfrm>
                      <a:off x="0" y="0"/>
                      <a:ext cx="3243580" cy="2089785"/>
                    </a:xfrm>
                    <a:prstGeom prst="rect">
                      <a:avLst/>
                    </a:prstGeom>
                    <a:noFill/>
                    <a:ln>
                      <a:noFill/>
                    </a:ln>
                  </pic:spPr>
                </pic:pic>
              </a:graphicData>
            </a:graphic>
          </wp:inline>
        </w:drawing>
      </w:r>
    </w:p>
    <w:p>
      <w:pPr>
        <w:spacing w:line="600" w:lineRule="exact"/>
        <w:ind w:firstLine="640" w:firstLineChars="200"/>
        <w:jc w:val="center"/>
        <w:rPr>
          <w:rFonts w:hint="eastAsia" w:ascii="仿宋" w:hAnsi="仿宋" w:eastAsia="仿宋" w:cs="仿宋"/>
          <w:color w:val="auto"/>
          <w:kern w:val="2"/>
          <w:sz w:val="32"/>
          <w:szCs w:val="24"/>
          <w:lang w:val="en-US"/>
        </w:rPr>
      </w:pPr>
      <w:r>
        <w:rPr>
          <w:rFonts w:hint="eastAsia" w:ascii="仿宋" w:hAnsi="仿宋" w:eastAsia="仿宋" w:cs="仿宋"/>
          <w:color w:val="auto"/>
          <w:kern w:val="2"/>
          <w:sz w:val="32"/>
          <w:szCs w:val="24"/>
          <w:lang w:val="en-US"/>
        </w:rPr>
        <w:t>（图2：收入决算结构图）（饼状图）</w:t>
      </w:r>
    </w:p>
    <w:p>
      <w:pPr>
        <w:pStyle w:val="4"/>
        <w:bidi w:val="0"/>
        <w:rPr>
          <w:rFonts w:hint="eastAsia"/>
          <w:lang w:val="zh-CN"/>
        </w:rPr>
      </w:pPr>
      <w:bookmarkStart w:id="6" w:name="_Toc17028"/>
      <w:r>
        <w:rPr>
          <w:rFonts w:hint="eastAsia"/>
          <w:lang w:val="zh-CN"/>
        </w:rPr>
        <w:t>三、支出决算情况说明</w:t>
      </w:r>
      <w:bookmarkEnd w:id="6"/>
    </w:p>
    <w:p>
      <w:pPr>
        <w:keepNext/>
        <w:keepLines/>
        <w:spacing w:line="576" w:lineRule="exact"/>
        <w:ind w:firstLine="640"/>
        <w:jc w:val="both"/>
        <w:rPr>
          <w:rFonts w:hint="eastAsia" w:ascii="仿宋" w:hAnsi="仿宋" w:eastAsia="仿宋" w:cs="仿宋"/>
          <w:color w:val="auto"/>
          <w:kern w:val="2"/>
          <w:sz w:val="32"/>
          <w:szCs w:val="24"/>
          <w:lang w:val="en-US"/>
        </w:rPr>
      </w:pPr>
      <w:r>
        <w:rPr>
          <w:rFonts w:hint="eastAsia" w:ascii="仿宋" w:hAnsi="仿宋" w:eastAsia="仿宋" w:cs="仿宋"/>
          <w:color w:val="000000"/>
          <w:kern w:val="2"/>
          <w:sz w:val="32"/>
          <w:szCs w:val="24"/>
          <w:lang w:val="zh-CN"/>
        </w:rPr>
        <w:t>2022年本年支出合计447.7</w:t>
      </w:r>
      <w:r>
        <w:rPr>
          <w:rFonts w:hint="eastAsia" w:ascii="仿宋" w:hAnsi="仿宋" w:cs="仿宋"/>
          <w:color w:val="000000"/>
          <w:kern w:val="2"/>
          <w:sz w:val="32"/>
          <w:szCs w:val="24"/>
          <w:lang w:val="en-US" w:eastAsia="zh-CN"/>
        </w:rPr>
        <w:t>4</w:t>
      </w:r>
      <w:r>
        <w:rPr>
          <w:rFonts w:hint="eastAsia" w:ascii="仿宋" w:hAnsi="仿宋" w:eastAsia="仿宋" w:cs="仿宋"/>
          <w:color w:val="000000"/>
          <w:kern w:val="2"/>
          <w:sz w:val="32"/>
          <w:szCs w:val="24"/>
          <w:lang w:val="zh-CN"/>
        </w:rPr>
        <w:t>万元</w:t>
      </w:r>
      <w:r>
        <w:rPr>
          <w:rFonts w:hint="eastAsia" w:ascii="仿宋" w:hAnsi="仿宋" w:cs="仿宋"/>
          <w:color w:val="000000"/>
          <w:kern w:val="2"/>
          <w:sz w:val="32"/>
          <w:szCs w:val="24"/>
          <w:lang w:val="zh-CN"/>
        </w:rPr>
        <w:t>（因计算只保留两位小数，数据之前可能会有</w:t>
      </w:r>
      <w:r>
        <w:rPr>
          <w:rFonts w:hint="eastAsia" w:ascii="仿宋" w:hAnsi="仿宋" w:cs="仿宋"/>
          <w:color w:val="000000"/>
          <w:kern w:val="2"/>
          <w:sz w:val="32"/>
          <w:szCs w:val="24"/>
          <w:lang w:val="en-US" w:eastAsia="zh-CN"/>
        </w:rPr>
        <w:t>0.01的差距</w:t>
      </w:r>
      <w:r>
        <w:rPr>
          <w:rFonts w:hint="eastAsia" w:ascii="仿宋" w:hAnsi="仿宋" w:cs="仿宋"/>
          <w:color w:val="000000"/>
          <w:kern w:val="2"/>
          <w:sz w:val="32"/>
          <w:szCs w:val="24"/>
          <w:lang w:val="zh-CN"/>
        </w:rPr>
        <w:t>）</w:t>
      </w:r>
      <w:r>
        <w:rPr>
          <w:rFonts w:hint="eastAsia" w:ascii="仿宋" w:hAnsi="仿宋" w:eastAsia="仿宋" w:cs="仿宋"/>
          <w:color w:val="000000"/>
          <w:kern w:val="2"/>
          <w:sz w:val="32"/>
          <w:szCs w:val="24"/>
          <w:lang w:val="zh-CN"/>
        </w:rPr>
        <w:t>，其中：基本支出364.8</w:t>
      </w:r>
      <w:r>
        <w:rPr>
          <w:rFonts w:hint="eastAsia" w:ascii="仿宋" w:hAnsi="仿宋" w:cs="仿宋"/>
          <w:color w:val="000000"/>
          <w:kern w:val="2"/>
          <w:sz w:val="32"/>
          <w:szCs w:val="24"/>
          <w:lang w:val="en-US" w:eastAsia="zh-CN"/>
        </w:rPr>
        <w:t>1</w:t>
      </w:r>
      <w:r>
        <w:rPr>
          <w:rFonts w:hint="eastAsia" w:ascii="仿宋" w:hAnsi="仿宋" w:eastAsia="仿宋" w:cs="仿宋"/>
          <w:color w:val="000000"/>
          <w:kern w:val="2"/>
          <w:sz w:val="32"/>
          <w:szCs w:val="24"/>
          <w:lang w:val="zh-CN"/>
        </w:rPr>
        <w:t>万元</w:t>
      </w:r>
      <w:r>
        <w:rPr>
          <w:rFonts w:hint="eastAsia" w:ascii="仿宋" w:hAnsi="仿宋" w:cs="仿宋"/>
          <w:color w:val="000000"/>
          <w:kern w:val="2"/>
          <w:sz w:val="32"/>
          <w:szCs w:val="24"/>
          <w:lang w:val="zh-CN"/>
        </w:rPr>
        <w:t>（因计算只保留两位小数，数据之前可能会有</w:t>
      </w:r>
      <w:r>
        <w:rPr>
          <w:rFonts w:hint="eastAsia" w:ascii="仿宋" w:hAnsi="仿宋" w:cs="仿宋"/>
          <w:color w:val="000000"/>
          <w:kern w:val="2"/>
          <w:sz w:val="32"/>
          <w:szCs w:val="24"/>
          <w:lang w:val="en-US" w:eastAsia="zh-CN"/>
        </w:rPr>
        <w:t>0.01的差距</w:t>
      </w:r>
      <w:r>
        <w:rPr>
          <w:rFonts w:hint="eastAsia" w:ascii="仿宋" w:hAnsi="仿宋" w:cs="仿宋"/>
          <w:color w:val="000000"/>
          <w:kern w:val="2"/>
          <w:sz w:val="32"/>
          <w:szCs w:val="24"/>
          <w:lang w:val="zh-CN"/>
        </w:rPr>
        <w:t>）</w:t>
      </w:r>
      <w:r>
        <w:rPr>
          <w:rFonts w:hint="eastAsia" w:ascii="仿宋" w:hAnsi="仿宋" w:eastAsia="仿宋" w:cs="仿宋"/>
          <w:color w:val="000000"/>
          <w:kern w:val="2"/>
          <w:sz w:val="32"/>
          <w:szCs w:val="24"/>
          <w:lang w:val="zh-CN"/>
        </w:rPr>
        <w:t>，占81.5%；项目支出82.93万元，占18.5%；上缴上级支出0万元，占0%；经营支出0万元，占0%；对附属单位补助支出0万元，占0%。</w:t>
      </w:r>
    </w:p>
    <w:p>
      <w:pPr>
        <w:pStyle w:val="2"/>
        <w:keepNext w:val="0"/>
        <w:keepLines w:val="0"/>
        <w:pageBreakBefore w:val="0"/>
        <w:widowControl w:val="0"/>
        <w:kinsoku/>
        <w:wordWrap/>
        <w:overflowPunct/>
        <w:topLinePunct w:val="0"/>
        <w:autoSpaceDE w:val="0"/>
        <w:autoSpaceDN w:val="0"/>
        <w:bidi w:val="0"/>
        <w:adjustRightInd w:val="0"/>
        <w:snapToGrid w:val="0"/>
        <w:spacing w:before="0" w:beforeLines="0" w:line="240" w:lineRule="auto"/>
        <w:jc w:val="center"/>
        <w:textAlignment w:val="auto"/>
        <w:rPr>
          <w:rFonts w:hint="eastAsia" w:ascii="仿宋" w:hAnsi="仿宋" w:eastAsia="仿宋" w:cs="仿宋"/>
          <w:color w:val="auto"/>
          <w:kern w:val="2"/>
          <w:sz w:val="32"/>
          <w:szCs w:val="24"/>
          <w:lang w:val="en-US"/>
        </w:rPr>
      </w:pPr>
      <w:r>
        <w:rPr>
          <w:rFonts w:hint="default" w:ascii="仿宋" w:hAnsi="仿宋" w:eastAsia="仿宋" w:cs="仿宋"/>
          <w:sz w:val="30"/>
          <w:szCs w:val="24"/>
        </w:rPr>
        <w:drawing>
          <wp:inline distT="0" distB="0" distL="114300" distR="114300">
            <wp:extent cx="3744595" cy="2232660"/>
            <wp:effectExtent l="0" t="0" r="4445" b="762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9"/>
                    <a:stretch>
                      <a:fillRect/>
                    </a:stretch>
                  </pic:blipFill>
                  <pic:spPr>
                    <a:xfrm>
                      <a:off x="0" y="0"/>
                      <a:ext cx="3744595" cy="2232660"/>
                    </a:xfrm>
                    <a:prstGeom prst="rect">
                      <a:avLst/>
                    </a:prstGeom>
                    <a:noFill/>
                    <a:ln>
                      <a:noFill/>
                    </a:ln>
                  </pic:spPr>
                </pic:pic>
              </a:graphicData>
            </a:graphic>
          </wp:inline>
        </w:drawing>
      </w:r>
    </w:p>
    <w:p>
      <w:pPr>
        <w:spacing w:line="600" w:lineRule="exact"/>
        <w:ind w:firstLine="640"/>
        <w:jc w:val="center"/>
        <w:rPr>
          <w:rFonts w:hint="eastAsia" w:ascii="仿宋" w:hAnsi="仿宋" w:eastAsia="仿宋" w:cs="仿宋"/>
          <w:color w:val="auto"/>
          <w:kern w:val="2"/>
          <w:sz w:val="32"/>
          <w:szCs w:val="24"/>
          <w:lang w:val="en-US"/>
        </w:rPr>
      </w:pPr>
      <w:r>
        <w:rPr>
          <w:rFonts w:hint="eastAsia" w:ascii="仿宋" w:hAnsi="仿宋" w:eastAsia="仿宋" w:cs="仿宋"/>
          <w:color w:val="auto"/>
          <w:kern w:val="2"/>
          <w:sz w:val="32"/>
          <w:szCs w:val="24"/>
          <w:lang w:val="en-US"/>
        </w:rPr>
        <w:t>（图3：支出决算结构图）（饼状图）</w:t>
      </w:r>
    </w:p>
    <w:p>
      <w:pPr>
        <w:pStyle w:val="4"/>
        <w:numPr>
          <w:ilvl w:val="0"/>
          <w:numId w:val="0"/>
        </w:numPr>
        <w:bidi w:val="0"/>
        <w:ind w:leftChars="0"/>
        <w:rPr>
          <w:rFonts w:hint="eastAsia"/>
          <w:lang w:val="zh-CN"/>
        </w:rPr>
      </w:pPr>
      <w:bookmarkStart w:id="7" w:name="_Toc8432"/>
      <w:r>
        <w:rPr>
          <w:rFonts w:hint="eastAsia"/>
          <w:lang w:val="zh-CN" w:eastAsia="zh-CN"/>
        </w:rPr>
        <w:t>四、</w:t>
      </w:r>
      <w:r>
        <w:rPr>
          <w:rFonts w:hint="eastAsia"/>
          <w:lang w:val="zh-CN"/>
        </w:rPr>
        <w:t>财政拨款收入支出决算总体情况说明</w:t>
      </w:r>
      <w:bookmarkEnd w:id="7"/>
    </w:p>
    <w:p>
      <w:pPr>
        <w:bidi w:val="0"/>
        <w:ind w:firstLine="640" w:firstLineChars="200"/>
        <w:rPr>
          <w:rFonts w:hint="eastAsia" w:ascii="仿宋" w:hAnsi="仿宋" w:eastAsia="仿宋" w:cs="仿宋"/>
          <w:color w:val="000000"/>
          <w:kern w:val="2"/>
          <w:szCs w:val="24"/>
          <w:lang w:val="zh-CN"/>
        </w:rPr>
      </w:pPr>
      <w:r>
        <w:rPr>
          <w:rFonts w:hint="eastAsia"/>
          <w:lang w:val="zh-CN"/>
        </w:rPr>
        <w:t>2022年度收、支</w:t>
      </w:r>
      <w:r>
        <w:rPr>
          <w:rFonts w:hint="eastAsia"/>
          <w:lang w:val="en-US" w:eastAsia="zh-CN"/>
        </w:rPr>
        <w:t>分别</w:t>
      </w:r>
      <w:r>
        <w:rPr>
          <w:rFonts w:hint="eastAsia"/>
          <w:lang w:val="zh-CN"/>
        </w:rPr>
        <w:t>447.74万元。与2021年相比，收、支总计</w:t>
      </w:r>
      <w:r>
        <w:rPr>
          <w:rFonts w:hint="eastAsia"/>
          <w:lang w:val="en-US" w:eastAsia="zh-CN"/>
        </w:rPr>
        <w:t>增加23.14</w:t>
      </w:r>
      <w:r>
        <w:rPr>
          <w:rFonts w:hint="eastAsia"/>
          <w:lang w:val="zh-CN"/>
        </w:rPr>
        <w:t>万元，增长</w:t>
      </w:r>
      <w:r>
        <w:rPr>
          <w:rFonts w:hint="eastAsia"/>
          <w:lang w:val="en-US" w:eastAsia="zh-CN"/>
        </w:rPr>
        <w:t>5.45</w:t>
      </w:r>
      <w:r>
        <w:rPr>
          <w:rFonts w:hint="eastAsia"/>
          <w:lang w:val="zh-CN"/>
        </w:rPr>
        <w:t>%。主要变动原因</w:t>
      </w:r>
      <w:r>
        <w:rPr>
          <w:rFonts w:hint="eastAsia"/>
          <w:lang w:val="en-US" w:eastAsia="zh-CN"/>
        </w:rPr>
        <w:t>是工作经费的增加</w:t>
      </w:r>
      <w:r>
        <w:rPr>
          <w:rFonts w:hint="eastAsia"/>
          <w:lang w:val="zh-CN"/>
        </w:rPr>
        <w:t>。</w:t>
      </w:r>
    </w:p>
    <w:p>
      <w:pPr>
        <w:pStyle w:val="2"/>
        <w:spacing w:line="240" w:lineRule="auto"/>
        <w:jc w:val="center"/>
        <w:rPr>
          <w:rFonts w:hint="default" w:ascii="仿宋" w:hAnsi="仿宋" w:eastAsia="仿宋" w:cs="仿宋"/>
          <w:sz w:val="30"/>
          <w:szCs w:val="24"/>
        </w:rPr>
      </w:pPr>
      <w:r>
        <w:rPr>
          <w:rFonts w:hint="default" w:ascii="仿宋" w:hAnsi="仿宋" w:eastAsia="仿宋" w:cs="仿宋"/>
          <w:sz w:val="30"/>
          <w:szCs w:val="24"/>
        </w:rPr>
        <w:drawing>
          <wp:inline distT="0" distB="0" distL="114300" distR="114300">
            <wp:extent cx="3769360" cy="2146935"/>
            <wp:effectExtent l="0" t="0" r="10160" b="1905"/>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pic:cNvPicPr>
                  </pic:nvPicPr>
                  <pic:blipFill>
                    <a:blip r:embed="rId7"/>
                    <a:stretch>
                      <a:fillRect/>
                    </a:stretch>
                  </pic:blipFill>
                  <pic:spPr>
                    <a:xfrm>
                      <a:off x="0" y="0"/>
                      <a:ext cx="3769360" cy="2146935"/>
                    </a:xfrm>
                    <a:prstGeom prst="rect">
                      <a:avLst/>
                    </a:prstGeom>
                    <a:noFill/>
                    <a:ln>
                      <a:noFill/>
                    </a:ln>
                  </pic:spPr>
                </pic:pic>
              </a:graphicData>
            </a:graphic>
          </wp:inline>
        </w:drawing>
      </w:r>
    </w:p>
    <w:p>
      <w:pPr>
        <w:jc w:val="center"/>
        <w:rPr>
          <w:rFonts w:hint="eastAsia"/>
          <w:lang w:val="zh-CN"/>
        </w:rPr>
      </w:pPr>
      <w:r>
        <w:rPr>
          <w:rFonts w:hint="eastAsia" w:ascii="仿宋" w:hAnsi="仿宋" w:eastAsia="仿宋"/>
          <w:color w:val="auto"/>
          <w:sz w:val="28"/>
          <w:szCs w:val="28"/>
          <w:highlight w:val="none"/>
        </w:rPr>
        <w:t>（图4：财政拨款收、支决算总计变动情况）（柱状图）</w:t>
      </w:r>
    </w:p>
    <w:p>
      <w:pPr>
        <w:pStyle w:val="4"/>
        <w:bidi w:val="0"/>
        <w:rPr>
          <w:rFonts w:hint="eastAsia"/>
          <w:lang w:val="zh-CN"/>
        </w:rPr>
      </w:pPr>
      <w:bookmarkStart w:id="8" w:name="_Toc21909"/>
      <w:r>
        <w:rPr>
          <w:rFonts w:hint="eastAsia"/>
          <w:lang w:val="zh-CN"/>
        </w:rPr>
        <w:t>五、一般公共预算财政拨款支出决算情况说明</w:t>
      </w:r>
      <w:bookmarkEnd w:id="8"/>
    </w:p>
    <w:p>
      <w:pPr>
        <w:keepNext/>
        <w:keepLines/>
        <w:spacing w:line="576" w:lineRule="exact"/>
        <w:ind w:firstLine="643"/>
        <w:jc w:val="both"/>
        <w:rPr>
          <w:rFonts w:hint="eastAsia" w:ascii="仿宋" w:hAnsi="仿宋" w:eastAsia="仿宋" w:cs="仿宋"/>
          <w:b/>
          <w:color w:val="000000"/>
          <w:kern w:val="2"/>
          <w:sz w:val="32"/>
          <w:szCs w:val="24"/>
          <w:lang w:val="zh-CN"/>
        </w:rPr>
      </w:pPr>
      <w:r>
        <w:rPr>
          <w:rFonts w:hint="eastAsia" w:ascii="仿宋" w:hAnsi="仿宋" w:eastAsia="仿宋" w:cs="仿宋"/>
          <w:b/>
          <w:color w:val="000000"/>
          <w:kern w:val="2"/>
          <w:sz w:val="32"/>
          <w:szCs w:val="24"/>
          <w:lang w:val="zh-CN"/>
        </w:rPr>
        <w:t>（一）一般公共预算财政拨款支出决算总体情况。</w:t>
      </w:r>
    </w:p>
    <w:p>
      <w:pPr>
        <w:keepNext/>
        <w:keepLines/>
        <w:spacing w:line="576" w:lineRule="exact"/>
        <w:ind w:firstLine="640"/>
        <w:jc w:val="both"/>
        <w:rPr>
          <w:rFonts w:hint="eastAsia" w:ascii="仿宋" w:hAnsi="仿宋" w:eastAsia="仿宋" w:cs="仿宋"/>
          <w:color w:val="000000"/>
          <w:kern w:val="2"/>
          <w:sz w:val="32"/>
          <w:szCs w:val="24"/>
          <w:lang w:val="zh-CN"/>
        </w:rPr>
      </w:pPr>
      <w:r>
        <w:rPr>
          <w:rFonts w:hint="eastAsia" w:ascii="仿宋" w:hAnsi="仿宋" w:eastAsia="仿宋" w:cs="仿宋"/>
          <w:color w:val="000000"/>
          <w:kern w:val="2"/>
          <w:sz w:val="32"/>
          <w:szCs w:val="24"/>
          <w:lang w:val="zh-CN"/>
        </w:rPr>
        <w:t>2022年一般公共预算财政拨款支出447.74万元，占本年支出合计的100%。与2021年相比，增长</w:t>
      </w:r>
      <w:r>
        <w:rPr>
          <w:rFonts w:hint="eastAsia" w:ascii="仿宋" w:hAnsi="仿宋" w:eastAsia="仿宋" w:cs="仿宋"/>
          <w:color w:val="000000"/>
          <w:kern w:val="2"/>
          <w:sz w:val="32"/>
          <w:szCs w:val="24"/>
          <w:lang w:val="en-US" w:eastAsia="zh-CN"/>
        </w:rPr>
        <w:t>5.45</w:t>
      </w:r>
      <w:r>
        <w:rPr>
          <w:rFonts w:hint="eastAsia" w:ascii="仿宋" w:hAnsi="仿宋" w:eastAsia="仿宋" w:cs="仿宋"/>
          <w:color w:val="000000"/>
          <w:kern w:val="2"/>
          <w:sz w:val="32"/>
          <w:szCs w:val="24"/>
          <w:lang w:val="zh-CN"/>
        </w:rPr>
        <w:t>%。主要变动原因</w:t>
      </w:r>
      <w:r>
        <w:rPr>
          <w:rFonts w:hint="eastAsia" w:ascii="仿宋" w:hAnsi="仿宋" w:eastAsia="仿宋" w:cs="仿宋"/>
          <w:color w:val="000000"/>
          <w:kern w:val="2"/>
          <w:sz w:val="32"/>
          <w:szCs w:val="24"/>
          <w:lang w:val="en-US" w:eastAsia="zh-CN"/>
        </w:rPr>
        <w:t>是工作经费的增加</w:t>
      </w:r>
      <w:r>
        <w:rPr>
          <w:rFonts w:hint="eastAsia" w:ascii="仿宋" w:hAnsi="仿宋" w:eastAsia="仿宋" w:cs="仿宋"/>
          <w:color w:val="000000"/>
          <w:kern w:val="2"/>
          <w:sz w:val="32"/>
          <w:szCs w:val="24"/>
          <w:lang w:val="zh-CN"/>
        </w:rPr>
        <w:t>。</w:t>
      </w:r>
    </w:p>
    <w:p>
      <w:pPr>
        <w:pStyle w:val="2"/>
        <w:spacing w:line="240" w:lineRule="auto"/>
        <w:jc w:val="center"/>
        <w:rPr>
          <w:rFonts w:hint="default" w:ascii="仿宋" w:hAnsi="仿宋" w:eastAsia="仿宋" w:cs="仿宋"/>
          <w:sz w:val="30"/>
          <w:szCs w:val="24"/>
        </w:rPr>
      </w:pPr>
      <w:r>
        <w:rPr>
          <w:rFonts w:hint="default" w:ascii="仿宋" w:hAnsi="仿宋" w:eastAsia="仿宋" w:cs="仿宋"/>
          <w:sz w:val="30"/>
          <w:szCs w:val="24"/>
        </w:rPr>
        <w:drawing>
          <wp:inline distT="0" distB="0" distL="114300" distR="114300">
            <wp:extent cx="3016250" cy="2568575"/>
            <wp:effectExtent l="0" t="0" r="1270" b="6985"/>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10"/>
                    <a:stretch>
                      <a:fillRect/>
                    </a:stretch>
                  </pic:blipFill>
                  <pic:spPr>
                    <a:xfrm>
                      <a:off x="0" y="0"/>
                      <a:ext cx="3016250" cy="2568575"/>
                    </a:xfrm>
                    <a:prstGeom prst="rect">
                      <a:avLst/>
                    </a:prstGeom>
                    <a:noFill/>
                    <a:ln>
                      <a:noFill/>
                    </a:ln>
                  </pic:spPr>
                </pic:pic>
              </a:graphicData>
            </a:graphic>
          </wp:inline>
        </w:drawing>
      </w:r>
    </w:p>
    <w:p>
      <w:pPr>
        <w:spacing w:line="600" w:lineRule="exact"/>
        <w:ind w:left="640" w:leftChars="200" w:firstLine="0" w:firstLineChars="0"/>
        <w:jc w:val="both"/>
        <w:rPr>
          <w:rFonts w:hint="eastAsia" w:ascii="仿宋" w:hAnsi="仿宋" w:eastAsia="仿宋" w:cs="仿宋"/>
          <w:b/>
          <w:color w:val="000000"/>
          <w:kern w:val="2"/>
          <w:sz w:val="32"/>
          <w:szCs w:val="24"/>
          <w:lang w:val="zh-CN"/>
        </w:rPr>
      </w:pPr>
      <w:r>
        <w:rPr>
          <w:rFonts w:hint="eastAsia" w:ascii="仿宋" w:hAnsi="仿宋" w:eastAsia="仿宋" w:cs="仿宋"/>
          <w:color w:val="auto"/>
          <w:kern w:val="2"/>
          <w:sz w:val="32"/>
          <w:szCs w:val="24"/>
          <w:lang w:val="en-US"/>
        </w:rPr>
        <w:t>（图5：一般公共预算财政拨款支出决算变动情况）（柱状图）</w:t>
      </w:r>
      <w:r>
        <w:rPr>
          <w:rFonts w:hint="eastAsia" w:ascii="仿宋" w:hAnsi="仿宋" w:eastAsia="仿宋" w:cs="仿宋"/>
          <w:b/>
          <w:color w:val="000000"/>
          <w:kern w:val="2"/>
          <w:sz w:val="32"/>
          <w:szCs w:val="24"/>
          <w:lang w:val="zh-CN"/>
        </w:rPr>
        <w:t>（二）一般公共预算财政拨款支出决算结构情况。</w:t>
      </w:r>
    </w:p>
    <w:p>
      <w:pPr>
        <w:spacing w:line="600" w:lineRule="exact"/>
        <w:ind w:firstLine="640" w:firstLineChars="200"/>
        <w:jc w:val="both"/>
        <w:rPr>
          <w:rFonts w:hint="eastAsia" w:ascii="仿宋" w:hAnsi="仿宋" w:eastAsia="仿宋" w:cs="仿宋"/>
          <w:color w:val="000000"/>
          <w:kern w:val="2"/>
          <w:sz w:val="32"/>
          <w:szCs w:val="24"/>
          <w:lang w:val="zh-CN"/>
        </w:rPr>
      </w:pPr>
      <w:r>
        <w:rPr>
          <w:rFonts w:hint="eastAsia" w:ascii="仿宋" w:hAnsi="仿宋" w:eastAsia="仿宋" w:cs="仿宋"/>
          <w:color w:val="000000"/>
          <w:kern w:val="2"/>
          <w:sz w:val="32"/>
          <w:szCs w:val="24"/>
          <w:lang w:val="zh-CN"/>
        </w:rPr>
        <w:t>2022年一般公共预算财政拨款支出447.74万元，主要用于以下方面</w:t>
      </w:r>
      <w:r>
        <w:rPr>
          <w:rFonts w:hint="eastAsia" w:ascii="仿宋" w:hAnsi="仿宋" w:cs="仿宋"/>
          <w:color w:val="000000"/>
          <w:kern w:val="2"/>
          <w:sz w:val="32"/>
          <w:szCs w:val="24"/>
          <w:lang w:val="zh-CN"/>
        </w:rPr>
        <w:t>：</w:t>
      </w:r>
      <w:r>
        <w:rPr>
          <w:rFonts w:hint="eastAsia" w:ascii="仿宋" w:hAnsi="仿宋" w:eastAsia="仿宋" w:cs="仿宋"/>
          <w:color w:val="000000"/>
          <w:kern w:val="2"/>
          <w:sz w:val="32"/>
          <w:szCs w:val="24"/>
          <w:lang w:val="zh-CN"/>
        </w:rPr>
        <w:t xml:space="preserve"> 一般公共服务支出386.37万元，占86.3%；社会保障和就业支出32.35万元，占7.2%；卫生健康支出12.36万元，占2.8%；住房保障支出16.66万元，占3.7%；</w:t>
      </w:r>
    </w:p>
    <w:p>
      <w:pPr>
        <w:pStyle w:val="2"/>
        <w:spacing w:line="240" w:lineRule="auto"/>
        <w:jc w:val="center"/>
        <w:rPr>
          <w:rFonts w:hint="default" w:ascii="仿宋" w:hAnsi="仿宋" w:eastAsia="仿宋" w:cs="仿宋"/>
          <w:sz w:val="30"/>
          <w:szCs w:val="24"/>
        </w:rPr>
      </w:pPr>
      <w:r>
        <w:rPr>
          <w:rFonts w:hint="default" w:ascii="仿宋" w:hAnsi="仿宋" w:eastAsia="仿宋" w:cs="仿宋"/>
          <w:sz w:val="30"/>
          <w:szCs w:val="24"/>
        </w:rPr>
        <w:drawing>
          <wp:inline distT="0" distB="0" distL="114300" distR="114300">
            <wp:extent cx="3502660" cy="2088515"/>
            <wp:effectExtent l="0" t="0" r="2540" b="14605"/>
            <wp:docPr id="6"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表 1"/>
                    <pic:cNvPicPr>
                      <a:picLocks noChangeAspect="1"/>
                    </pic:cNvPicPr>
                  </pic:nvPicPr>
                  <pic:blipFill>
                    <a:blip r:embed="rId11"/>
                    <a:stretch>
                      <a:fillRect/>
                    </a:stretch>
                  </pic:blipFill>
                  <pic:spPr>
                    <a:xfrm>
                      <a:off x="0" y="0"/>
                      <a:ext cx="3502660" cy="2088515"/>
                    </a:xfrm>
                    <a:prstGeom prst="rect">
                      <a:avLst/>
                    </a:prstGeom>
                    <a:noFill/>
                    <a:ln>
                      <a:noFill/>
                    </a:ln>
                  </pic:spPr>
                </pic:pic>
              </a:graphicData>
            </a:graphic>
          </wp:inline>
        </w:drawing>
      </w:r>
    </w:p>
    <w:p>
      <w:pPr>
        <w:rPr>
          <w:rFonts w:hint="eastAsia"/>
        </w:rPr>
      </w:pPr>
      <w:r>
        <w:rPr>
          <w:rFonts w:hint="eastAsia" w:ascii="仿宋" w:hAnsi="仿宋" w:eastAsia="仿宋"/>
          <w:color w:val="auto"/>
          <w:kern w:val="2"/>
          <w:sz w:val="32"/>
          <w:szCs w:val="24"/>
          <w:lang w:val="en-US"/>
        </w:rPr>
        <w:t>（图6：一般公共预算财政拨款支出决算结构）（饼状图）</w:t>
      </w:r>
    </w:p>
    <w:p>
      <w:pPr>
        <w:spacing w:line="600" w:lineRule="exact"/>
        <w:ind w:firstLine="643" w:firstLineChars="200"/>
        <w:jc w:val="both"/>
        <w:rPr>
          <w:rFonts w:hint="eastAsia" w:ascii="仿宋" w:hAnsi="仿宋" w:eastAsia="仿宋" w:cs="仿宋"/>
          <w:b/>
          <w:color w:val="000000"/>
          <w:kern w:val="2"/>
          <w:sz w:val="32"/>
          <w:szCs w:val="24"/>
          <w:lang w:val="zh-CN"/>
        </w:rPr>
      </w:pPr>
      <w:r>
        <w:rPr>
          <w:rFonts w:hint="eastAsia" w:ascii="仿宋" w:hAnsi="仿宋" w:eastAsia="仿宋" w:cs="仿宋"/>
          <w:b/>
          <w:color w:val="000000"/>
          <w:kern w:val="2"/>
          <w:sz w:val="32"/>
          <w:szCs w:val="24"/>
          <w:lang w:val="zh-CN"/>
        </w:rPr>
        <w:t>（三）一般公共预算财政拨款支出决算具体情况。</w:t>
      </w:r>
    </w:p>
    <w:p>
      <w:pPr>
        <w:keepNext/>
        <w:keepLines/>
        <w:spacing w:line="576" w:lineRule="exact"/>
        <w:ind w:firstLine="643"/>
        <w:jc w:val="both"/>
        <w:rPr>
          <w:rFonts w:hint="eastAsia" w:ascii="仿宋" w:hAnsi="仿宋" w:eastAsia="仿宋" w:cs="仿宋"/>
          <w:b/>
          <w:color w:val="000000"/>
          <w:kern w:val="2"/>
          <w:sz w:val="32"/>
          <w:szCs w:val="24"/>
          <w:lang w:val="zh-CN"/>
        </w:rPr>
      </w:pPr>
      <w:r>
        <w:rPr>
          <w:rFonts w:hint="eastAsia" w:ascii="仿宋" w:hAnsi="仿宋" w:eastAsia="仿宋" w:cs="仿宋"/>
          <w:b/>
          <w:color w:val="000000"/>
          <w:kern w:val="2"/>
          <w:sz w:val="32"/>
          <w:szCs w:val="24"/>
          <w:lang w:val="zh-CN"/>
        </w:rPr>
        <w:t>2022年一般公共预算支出决算数为447.74万元</w:t>
      </w:r>
      <w:r>
        <w:rPr>
          <w:rFonts w:hint="eastAsia" w:ascii="仿宋" w:hAnsi="仿宋" w:eastAsia="仿宋" w:cs="仿宋"/>
          <w:color w:val="000000"/>
          <w:kern w:val="2"/>
          <w:sz w:val="32"/>
          <w:szCs w:val="24"/>
          <w:lang w:val="zh-CN"/>
        </w:rPr>
        <w:t>，</w:t>
      </w:r>
      <w:r>
        <w:rPr>
          <w:rFonts w:hint="eastAsia" w:ascii="仿宋" w:hAnsi="仿宋" w:eastAsia="仿宋" w:cs="仿宋"/>
          <w:b/>
          <w:color w:val="000000"/>
          <w:kern w:val="2"/>
          <w:sz w:val="32"/>
          <w:szCs w:val="24"/>
          <w:lang w:val="zh-CN"/>
        </w:rPr>
        <w:t>完成预算100%。其中：</w:t>
      </w:r>
    </w:p>
    <w:p>
      <w:pPr>
        <w:bidi w:val="0"/>
        <w:ind w:firstLine="640" w:firstLineChars="200"/>
        <w:rPr>
          <w:rFonts w:hint="eastAsia"/>
          <w:lang w:val="en-US" w:eastAsia="zh-CN"/>
        </w:rPr>
      </w:pPr>
      <w:r>
        <w:rPr>
          <w:rFonts w:hint="eastAsia"/>
          <w:lang w:val="en-US" w:eastAsia="zh-CN"/>
        </w:rPr>
        <w:t>1.一般公共服务（类）群众团体事务（款）行政运行（项）2012901：支出决算为234.78万元，完成预算100%，决算数等于预算数。</w:t>
      </w:r>
    </w:p>
    <w:p>
      <w:pPr>
        <w:bidi w:val="0"/>
        <w:ind w:firstLine="640" w:firstLineChars="200"/>
        <w:rPr>
          <w:rFonts w:hint="eastAsia"/>
          <w:lang w:val="en-US" w:eastAsia="zh-CN"/>
        </w:rPr>
      </w:pPr>
      <w:r>
        <w:rPr>
          <w:rFonts w:hint="eastAsia"/>
          <w:lang w:val="en-US" w:eastAsia="zh-CN"/>
        </w:rPr>
        <w:t>2.一般公共服务（类）群众团体事务（款）其他群众团体事务支出（项）2012999: 支出决算为151.59万元，完成预算100%，决算数等于预算数。</w:t>
      </w:r>
    </w:p>
    <w:p>
      <w:pPr>
        <w:bidi w:val="0"/>
        <w:ind w:firstLine="640" w:firstLineChars="200"/>
        <w:rPr>
          <w:rFonts w:hint="eastAsia"/>
          <w:lang w:val="en-US" w:eastAsia="zh-CN"/>
        </w:rPr>
      </w:pPr>
      <w:r>
        <w:rPr>
          <w:rFonts w:hint="eastAsia"/>
          <w:lang w:val="en-US" w:eastAsia="zh-CN"/>
        </w:rPr>
        <w:t>3.社会保障和就业（类）行政事业单位离退休（款）机关事业单位基本养老保险缴费支出（项）2080505：支出决算为27.44万元，其他行政事业单位养老支出（项）2080599：支出决算为4.12万元；死亡抚恤（款）2080801：支出决算为0.78万元，完成预算100%，决算数等于预算数。</w:t>
      </w:r>
    </w:p>
    <w:p>
      <w:pPr>
        <w:bidi w:val="0"/>
        <w:ind w:firstLine="640" w:firstLineChars="200"/>
        <w:rPr>
          <w:rFonts w:hint="eastAsia"/>
          <w:lang w:val="en-US" w:eastAsia="zh-CN"/>
        </w:rPr>
      </w:pPr>
      <w:r>
        <w:rPr>
          <w:rFonts w:hint="eastAsia"/>
          <w:lang w:val="en-US" w:eastAsia="zh-CN"/>
        </w:rPr>
        <w:t>4.卫生健康（类）行政事业单位医疗（款）行政单位医疗（项）2101101：支出决算为5.7万元，事业单位医疗（项）2101102：支出决算为6.06万元，公务员医疗补助2101103：支出决算为0.6万元，完成预算100%，决算数等于预算数。</w:t>
      </w:r>
    </w:p>
    <w:p>
      <w:pPr>
        <w:bidi w:val="0"/>
        <w:ind w:firstLine="640" w:firstLineChars="200"/>
        <w:rPr>
          <w:rFonts w:hint="eastAsia"/>
          <w:lang w:val="en-US" w:eastAsia="zh-CN"/>
        </w:rPr>
      </w:pPr>
      <w:r>
        <w:rPr>
          <w:rFonts w:hint="eastAsia"/>
          <w:lang w:val="en-US" w:eastAsia="zh-CN"/>
        </w:rPr>
        <w:t>5.住房保障支出（类）住房改革支出（款）住房公积金（项）2210201：支出决算为16.66万元，完成预算100%，决算数等于预算数。</w:t>
      </w:r>
    </w:p>
    <w:p>
      <w:pPr>
        <w:keepNext/>
        <w:keepLines/>
        <w:tabs>
          <w:tab w:val="right" w:pos="8306"/>
        </w:tabs>
        <w:spacing w:line="576" w:lineRule="exact"/>
        <w:jc w:val="both"/>
        <w:outlineLvl w:val="1"/>
        <w:rPr>
          <w:rFonts w:hint="eastAsia" w:ascii="仿宋" w:hAnsi="仿宋" w:eastAsia="仿宋" w:cs="仿宋"/>
          <w:b/>
          <w:color w:val="auto"/>
          <w:kern w:val="2"/>
          <w:sz w:val="32"/>
          <w:szCs w:val="24"/>
          <w:lang w:val="zh-CN"/>
        </w:rPr>
      </w:pPr>
      <w:bookmarkStart w:id="9" w:name="_Toc9941"/>
      <w:r>
        <w:rPr>
          <w:rStyle w:val="21"/>
          <w:rFonts w:hint="eastAsia"/>
          <w:lang w:val="zh-CN"/>
        </w:rPr>
        <w:t>六、一般公共预算财政拨款基本支出决算情况说明</w:t>
      </w:r>
      <w:bookmarkEnd w:id="9"/>
      <w:r>
        <w:rPr>
          <w:rFonts w:hint="eastAsia" w:ascii="仿宋" w:hAnsi="仿宋" w:eastAsia="仿宋" w:cs="仿宋"/>
          <w:color w:val="auto"/>
          <w:kern w:val="2"/>
          <w:sz w:val="32"/>
          <w:szCs w:val="24"/>
          <w:lang w:val="zh-CN"/>
        </w:rPr>
        <w:tab/>
      </w:r>
    </w:p>
    <w:p>
      <w:pPr>
        <w:spacing w:line="576" w:lineRule="exact"/>
        <w:ind w:firstLine="640"/>
        <w:jc w:val="both"/>
        <w:rPr>
          <w:rFonts w:hint="eastAsia" w:ascii="仿宋" w:hAnsi="仿宋" w:eastAsia="仿宋" w:cs="仿宋"/>
          <w:color w:val="000000"/>
          <w:kern w:val="2"/>
          <w:sz w:val="32"/>
          <w:szCs w:val="24"/>
          <w:lang w:val="zh-CN"/>
        </w:rPr>
      </w:pPr>
      <w:r>
        <w:rPr>
          <w:rFonts w:hint="eastAsia" w:ascii="仿宋" w:hAnsi="仿宋" w:eastAsia="仿宋" w:cs="仿宋"/>
          <w:color w:val="000000"/>
          <w:kern w:val="2"/>
          <w:sz w:val="32"/>
          <w:szCs w:val="24"/>
          <w:lang w:val="zh-CN"/>
        </w:rPr>
        <w:t>2022年一般公共预算财政拨款基本支出364.8万元，其中：</w:t>
      </w:r>
    </w:p>
    <w:p>
      <w:pPr>
        <w:spacing w:line="576" w:lineRule="exact"/>
        <w:ind w:firstLine="643"/>
        <w:jc w:val="both"/>
        <w:rPr>
          <w:rFonts w:hint="eastAsia" w:ascii="仿宋" w:hAnsi="仿宋" w:eastAsia="仿宋" w:cs="仿宋"/>
          <w:color w:val="000000"/>
          <w:kern w:val="2"/>
          <w:sz w:val="32"/>
          <w:szCs w:val="24"/>
          <w:lang w:val="zh-CN"/>
        </w:rPr>
      </w:pPr>
      <w:r>
        <w:rPr>
          <w:rFonts w:hint="eastAsia" w:ascii="仿宋" w:hAnsi="仿宋" w:eastAsia="仿宋" w:cs="仿宋"/>
          <w:b/>
          <w:color w:val="000000"/>
          <w:kern w:val="2"/>
          <w:sz w:val="32"/>
          <w:szCs w:val="24"/>
          <w:lang w:val="zh-CN"/>
        </w:rPr>
        <w:t>人员经费</w:t>
      </w:r>
      <w:r>
        <w:rPr>
          <w:rFonts w:hint="eastAsia" w:ascii="仿宋" w:hAnsi="仿宋" w:eastAsia="仿宋" w:cs="仿宋"/>
          <w:b/>
          <w:bCs/>
          <w:color w:val="000000"/>
          <w:kern w:val="2"/>
          <w:sz w:val="32"/>
          <w:szCs w:val="24"/>
          <w:lang w:val="zh-CN"/>
        </w:rPr>
        <w:t>326.72万元</w:t>
      </w:r>
      <w:r>
        <w:rPr>
          <w:rFonts w:hint="eastAsia" w:ascii="仿宋" w:hAnsi="仿宋" w:eastAsia="仿宋" w:cs="仿宋"/>
          <w:color w:val="000000"/>
          <w:kern w:val="2"/>
          <w:sz w:val="32"/>
          <w:szCs w:val="24"/>
          <w:lang w:val="zh-CN"/>
        </w:rPr>
        <w:t>，主要包括：</w:t>
      </w:r>
      <w:r>
        <w:rPr>
          <w:rFonts w:hint="eastAsia" w:ascii="仿宋" w:hAnsi="仿宋" w:eastAsia="仿宋" w:cs="仿宋"/>
          <w:color w:val="auto"/>
          <w:kern w:val="2"/>
          <w:sz w:val="32"/>
          <w:szCs w:val="24"/>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 w:hAnsi="仿宋" w:eastAsia="仿宋" w:cs="仿宋"/>
          <w:color w:val="000000"/>
          <w:kern w:val="2"/>
          <w:sz w:val="32"/>
          <w:szCs w:val="24"/>
          <w:lang w:val="zh-CN"/>
        </w:rPr>
        <w:t>。</w:t>
      </w:r>
    </w:p>
    <w:p>
      <w:pPr>
        <w:spacing w:line="576" w:lineRule="exact"/>
        <w:ind w:firstLine="643"/>
        <w:jc w:val="both"/>
        <w:rPr>
          <w:rFonts w:hint="eastAsia" w:ascii="仿宋" w:hAnsi="仿宋" w:eastAsia="仿宋" w:cs="仿宋"/>
          <w:color w:val="000000"/>
          <w:kern w:val="2"/>
          <w:sz w:val="32"/>
          <w:szCs w:val="24"/>
          <w:lang w:val="zh-CN"/>
        </w:rPr>
      </w:pPr>
      <w:r>
        <w:rPr>
          <w:rFonts w:hint="eastAsia" w:ascii="仿宋" w:hAnsi="仿宋" w:eastAsia="仿宋" w:cs="仿宋"/>
          <w:b/>
          <w:color w:val="000000"/>
          <w:kern w:val="2"/>
          <w:sz w:val="32"/>
          <w:szCs w:val="24"/>
          <w:lang w:val="zh-CN"/>
        </w:rPr>
        <w:t>公用经费</w:t>
      </w:r>
      <w:r>
        <w:rPr>
          <w:rFonts w:hint="eastAsia" w:ascii="仿宋" w:hAnsi="仿宋" w:eastAsia="仿宋" w:cs="仿宋"/>
          <w:b/>
          <w:bCs/>
          <w:color w:val="000000"/>
          <w:kern w:val="2"/>
          <w:sz w:val="32"/>
          <w:szCs w:val="24"/>
          <w:lang w:val="zh-CN"/>
        </w:rPr>
        <w:t>38.08万元</w:t>
      </w:r>
      <w:r>
        <w:rPr>
          <w:rFonts w:hint="eastAsia" w:ascii="仿宋" w:hAnsi="仿宋" w:eastAsia="仿宋" w:cs="仿宋"/>
          <w:color w:val="000000"/>
          <w:kern w:val="2"/>
          <w:sz w:val="32"/>
          <w:szCs w:val="24"/>
          <w:lang w:val="zh-CN"/>
        </w:rPr>
        <w:t>，主要包括：</w:t>
      </w:r>
      <w:r>
        <w:rPr>
          <w:rFonts w:hint="eastAsia" w:ascii="仿宋" w:hAnsi="仿宋" w:eastAsia="仿宋" w:cs="仿宋"/>
          <w:color w:val="auto"/>
          <w:kern w:val="2"/>
          <w:sz w:val="32"/>
          <w:szCs w:val="24"/>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仿宋" w:hAnsi="仿宋" w:eastAsia="仿宋" w:cs="仿宋"/>
          <w:color w:val="000000"/>
          <w:kern w:val="2"/>
          <w:sz w:val="32"/>
          <w:szCs w:val="24"/>
          <w:lang w:val="zh-CN"/>
        </w:rPr>
        <w:t>。</w:t>
      </w:r>
    </w:p>
    <w:p>
      <w:pPr>
        <w:keepNext/>
        <w:keepLines/>
        <w:spacing w:line="576" w:lineRule="exact"/>
        <w:ind w:firstLine="640"/>
        <w:jc w:val="both"/>
        <w:outlineLvl w:val="1"/>
        <w:rPr>
          <w:rFonts w:hint="eastAsia" w:ascii="仿宋" w:hAnsi="仿宋" w:eastAsia="仿宋" w:cs="仿宋"/>
          <w:color w:val="auto"/>
          <w:kern w:val="2"/>
          <w:sz w:val="32"/>
          <w:szCs w:val="24"/>
          <w:lang w:val="zh-CN"/>
        </w:rPr>
      </w:pPr>
      <w:bookmarkStart w:id="10" w:name="_Toc2232"/>
      <w:r>
        <w:rPr>
          <w:rFonts w:hint="eastAsia" w:ascii="仿宋" w:hAnsi="仿宋" w:eastAsia="仿宋" w:cs="仿宋"/>
          <w:color w:val="000000"/>
          <w:kern w:val="2"/>
          <w:sz w:val="32"/>
          <w:szCs w:val="24"/>
          <w:lang w:val="zh-CN"/>
        </w:rPr>
        <w:t>七、</w:t>
      </w:r>
      <w:r>
        <w:rPr>
          <w:rFonts w:hint="eastAsia" w:ascii="仿宋" w:hAnsi="仿宋" w:eastAsia="仿宋" w:cs="仿宋"/>
          <w:b/>
          <w:color w:val="auto"/>
          <w:kern w:val="2"/>
          <w:sz w:val="32"/>
          <w:szCs w:val="24"/>
          <w:lang w:val="zh-CN"/>
        </w:rPr>
        <w:t>“</w:t>
      </w:r>
      <w:r>
        <w:rPr>
          <w:rFonts w:hint="eastAsia" w:ascii="仿宋" w:hAnsi="仿宋" w:eastAsia="仿宋" w:cs="仿宋"/>
          <w:color w:val="auto"/>
          <w:kern w:val="2"/>
          <w:sz w:val="32"/>
          <w:szCs w:val="24"/>
          <w:lang w:val="zh-CN"/>
        </w:rPr>
        <w:t>三公”经费财政拨款支出决算情况说明</w:t>
      </w:r>
      <w:bookmarkEnd w:id="10"/>
    </w:p>
    <w:p>
      <w:pPr>
        <w:keepNext/>
        <w:keepLines/>
        <w:spacing w:line="576" w:lineRule="exact"/>
        <w:ind w:firstLine="643"/>
        <w:jc w:val="both"/>
        <w:rPr>
          <w:rFonts w:hint="eastAsia" w:ascii="仿宋" w:hAnsi="仿宋" w:eastAsia="仿宋" w:cs="仿宋"/>
          <w:b/>
          <w:color w:val="000000"/>
          <w:kern w:val="2"/>
          <w:sz w:val="32"/>
          <w:szCs w:val="24"/>
          <w:lang w:val="zh-CN"/>
        </w:rPr>
      </w:pPr>
      <w:r>
        <w:rPr>
          <w:rFonts w:hint="eastAsia" w:ascii="仿宋" w:hAnsi="仿宋" w:eastAsia="仿宋" w:cs="仿宋"/>
          <w:b/>
          <w:color w:val="000000"/>
          <w:kern w:val="2"/>
          <w:sz w:val="32"/>
          <w:szCs w:val="24"/>
          <w:lang w:val="zh-CN"/>
        </w:rPr>
        <w:t>（一）“三公”经费财政拨款支出决算总体情况说明</w:t>
      </w:r>
    </w:p>
    <w:p>
      <w:pPr>
        <w:keepNext/>
        <w:keepLines/>
        <w:spacing w:line="576" w:lineRule="exact"/>
        <w:ind w:firstLine="640"/>
        <w:jc w:val="both"/>
        <w:rPr>
          <w:rFonts w:hint="eastAsia" w:ascii="仿宋" w:hAnsi="仿宋" w:eastAsia="仿宋" w:cs="仿宋"/>
          <w:color w:val="000000"/>
          <w:kern w:val="2"/>
          <w:sz w:val="32"/>
          <w:szCs w:val="24"/>
          <w:lang w:val="zh-CN"/>
        </w:rPr>
      </w:pPr>
      <w:r>
        <w:rPr>
          <w:rFonts w:hint="eastAsia" w:ascii="仿宋" w:hAnsi="仿宋" w:eastAsia="仿宋" w:cs="仿宋"/>
          <w:color w:val="000000"/>
          <w:kern w:val="2"/>
          <w:sz w:val="32"/>
          <w:szCs w:val="24"/>
          <w:lang w:val="zh-CN"/>
        </w:rPr>
        <w:t>2022年“三公”经费财政拨款支出决算为1.2万元，完成预算100%，决算数</w:t>
      </w:r>
      <w:r>
        <w:rPr>
          <w:rFonts w:hint="eastAsia" w:ascii="仿宋" w:hAnsi="仿宋" w:eastAsia="仿宋" w:cs="仿宋"/>
          <w:color w:val="000000"/>
          <w:kern w:val="2"/>
          <w:sz w:val="32"/>
          <w:szCs w:val="24"/>
          <w:lang w:val="zh-CN" w:eastAsia="zh-CN"/>
        </w:rPr>
        <w:t>等于</w:t>
      </w:r>
      <w:r>
        <w:rPr>
          <w:rFonts w:hint="eastAsia" w:ascii="仿宋" w:hAnsi="仿宋" w:eastAsia="仿宋" w:cs="仿宋"/>
          <w:color w:val="000000"/>
          <w:kern w:val="2"/>
          <w:sz w:val="32"/>
          <w:szCs w:val="24"/>
          <w:lang w:val="zh-CN"/>
        </w:rPr>
        <w:t>预算数</w:t>
      </w:r>
      <w:r>
        <w:rPr>
          <w:rFonts w:hint="eastAsia" w:ascii="仿宋" w:hAnsi="仿宋" w:eastAsia="仿宋" w:cs="仿宋"/>
          <w:color w:val="000000"/>
          <w:kern w:val="2"/>
          <w:sz w:val="32"/>
          <w:szCs w:val="24"/>
          <w:lang w:val="zh-CN" w:eastAsia="zh-CN"/>
        </w:rPr>
        <w:t>。</w:t>
      </w:r>
    </w:p>
    <w:p>
      <w:pPr>
        <w:keepNext/>
        <w:keepLines/>
        <w:spacing w:line="576" w:lineRule="exact"/>
        <w:ind w:firstLine="643"/>
        <w:jc w:val="both"/>
        <w:rPr>
          <w:rFonts w:hint="eastAsia" w:ascii="仿宋" w:hAnsi="仿宋" w:eastAsia="仿宋" w:cs="仿宋"/>
          <w:b/>
          <w:color w:val="000000"/>
          <w:kern w:val="2"/>
          <w:sz w:val="32"/>
          <w:szCs w:val="24"/>
          <w:lang w:val="zh-CN"/>
        </w:rPr>
      </w:pPr>
      <w:r>
        <w:rPr>
          <w:rFonts w:hint="eastAsia" w:ascii="仿宋" w:hAnsi="仿宋" w:eastAsia="仿宋" w:cs="仿宋"/>
          <w:b/>
          <w:color w:val="000000"/>
          <w:kern w:val="2"/>
          <w:sz w:val="32"/>
          <w:szCs w:val="24"/>
          <w:lang w:val="zh-CN"/>
        </w:rPr>
        <w:t>（二）“三公”经费财政拨款支出决算具体情况说明</w:t>
      </w:r>
    </w:p>
    <w:p>
      <w:pPr>
        <w:keepNext/>
        <w:keepLines/>
        <w:spacing w:line="576" w:lineRule="exact"/>
        <w:ind w:firstLine="640"/>
        <w:jc w:val="both"/>
        <w:rPr>
          <w:rFonts w:hint="eastAsia" w:ascii="仿宋" w:hAnsi="仿宋" w:eastAsia="仿宋" w:cs="仿宋"/>
          <w:color w:val="000000"/>
          <w:kern w:val="2"/>
          <w:sz w:val="32"/>
          <w:szCs w:val="24"/>
          <w:lang w:val="zh-CN"/>
        </w:rPr>
      </w:pPr>
      <w:r>
        <w:rPr>
          <w:rFonts w:hint="eastAsia" w:ascii="仿宋" w:hAnsi="仿宋" w:eastAsia="仿宋" w:cs="仿宋"/>
          <w:color w:val="000000"/>
          <w:kern w:val="2"/>
          <w:sz w:val="32"/>
          <w:szCs w:val="24"/>
          <w:lang w:val="zh-CN"/>
        </w:rPr>
        <w:t>2022年“三公”经费财政拨款支出决算中，因公出国（境）费支出决算0万元，占0%；公务用车购置及运行维护费支出决算0万元，占0%；公务接待费支出决算1.2万元，占100%。具体情况如下：</w:t>
      </w:r>
    </w:p>
    <w:p>
      <w:pPr>
        <w:spacing w:line="240" w:lineRule="auto"/>
        <w:jc w:val="center"/>
        <w:rPr>
          <w:rFonts w:hint="default" w:ascii="仿宋" w:hAnsi="仿宋" w:eastAsia="仿宋" w:cs="仿宋"/>
          <w:sz w:val="24"/>
          <w:szCs w:val="24"/>
        </w:rPr>
      </w:pPr>
      <w:r>
        <w:rPr>
          <w:rFonts w:hint="default" w:ascii="仿宋" w:hAnsi="仿宋" w:eastAsia="仿宋" w:cs="仿宋"/>
          <w:sz w:val="24"/>
          <w:szCs w:val="24"/>
        </w:rPr>
        <w:drawing>
          <wp:inline distT="0" distB="0" distL="114300" distR="114300">
            <wp:extent cx="3516630" cy="2096770"/>
            <wp:effectExtent l="0" t="0" r="3810" b="6350"/>
            <wp:docPr id="7"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表 1"/>
                    <pic:cNvPicPr>
                      <a:picLocks noChangeAspect="1"/>
                    </pic:cNvPicPr>
                  </pic:nvPicPr>
                  <pic:blipFill>
                    <a:blip r:embed="rId12"/>
                    <a:stretch>
                      <a:fillRect/>
                    </a:stretch>
                  </pic:blipFill>
                  <pic:spPr>
                    <a:xfrm>
                      <a:off x="0" y="0"/>
                      <a:ext cx="3516630" cy="2096770"/>
                    </a:xfrm>
                    <a:prstGeom prst="rect">
                      <a:avLst/>
                    </a:prstGeom>
                    <a:noFill/>
                    <a:ln>
                      <a:noFill/>
                    </a:ln>
                  </pic:spPr>
                </pic:pic>
              </a:graphicData>
            </a:graphic>
          </wp:inline>
        </w:drawing>
      </w:r>
    </w:p>
    <w:p>
      <w:pPr>
        <w:spacing w:beforeLines="0" w:afterLines="0" w:line="600" w:lineRule="exact"/>
        <w:jc w:val="center"/>
        <w:rPr>
          <w:rFonts w:hint="eastAsia"/>
          <w:lang w:val="zh-CN"/>
        </w:rPr>
      </w:pPr>
      <w:r>
        <w:rPr>
          <w:rFonts w:hint="eastAsia" w:ascii="仿宋" w:hAnsi="仿宋" w:eastAsia="仿宋"/>
          <w:color w:val="auto"/>
          <w:kern w:val="2"/>
          <w:sz w:val="28"/>
          <w:szCs w:val="28"/>
          <w:lang w:val="en-US"/>
        </w:rPr>
        <w:t>（图7：“三公”经费财政拨款支出结构）（饼状图）</w:t>
      </w:r>
    </w:p>
    <w:p>
      <w:pPr>
        <w:bidi w:val="0"/>
        <w:ind w:firstLine="640" w:firstLineChars="200"/>
        <w:rPr>
          <w:rFonts w:hint="eastAsia"/>
          <w:lang w:val="en-US" w:eastAsia="zh-CN"/>
        </w:rPr>
      </w:pPr>
      <w:r>
        <w:rPr>
          <w:rFonts w:hint="eastAsia"/>
          <w:lang w:val="en-US" w:eastAsia="zh-CN"/>
        </w:rPr>
        <w:t>1.</w:t>
      </w:r>
      <w:r>
        <w:rPr>
          <w:rFonts w:hint="eastAsia"/>
          <w:b/>
          <w:bCs/>
          <w:lang w:val="en-US" w:eastAsia="zh-CN"/>
        </w:rPr>
        <w:t>因公出国（境）经费支出</w:t>
      </w:r>
      <w:r>
        <w:rPr>
          <w:rFonts w:hint="eastAsia"/>
          <w:lang w:val="en-US" w:eastAsia="zh-CN"/>
        </w:rPr>
        <w:t>0万元。</w:t>
      </w:r>
    </w:p>
    <w:p>
      <w:pPr>
        <w:bidi w:val="0"/>
        <w:ind w:firstLine="640" w:firstLineChars="200"/>
        <w:rPr>
          <w:rFonts w:hint="eastAsia"/>
          <w:lang w:val="en-US" w:eastAsia="zh-CN"/>
        </w:rPr>
      </w:pPr>
      <w:r>
        <w:rPr>
          <w:rFonts w:hint="eastAsia"/>
          <w:lang w:val="en-US" w:eastAsia="zh-CN"/>
        </w:rPr>
        <w:t>2.</w:t>
      </w:r>
      <w:r>
        <w:rPr>
          <w:rFonts w:hint="eastAsia"/>
          <w:b/>
          <w:bCs/>
          <w:lang w:val="en-US" w:eastAsia="zh-CN"/>
        </w:rPr>
        <w:t>公务用车购置及运行维护费支出</w:t>
      </w:r>
      <w:r>
        <w:rPr>
          <w:rFonts w:hint="eastAsia"/>
          <w:lang w:val="en-US" w:eastAsia="zh-CN"/>
        </w:rPr>
        <w:t>0万元。</w:t>
      </w:r>
    </w:p>
    <w:p>
      <w:pPr>
        <w:bidi w:val="0"/>
        <w:ind w:firstLine="643" w:firstLineChars="200"/>
        <w:rPr>
          <w:rFonts w:hint="eastAsia" w:ascii="仿宋" w:hAnsi="仿宋" w:cs="仿宋"/>
          <w:b/>
          <w:color w:val="000000"/>
          <w:kern w:val="2"/>
          <w:sz w:val="32"/>
          <w:szCs w:val="24"/>
          <w:lang w:val="en-US" w:eastAsia="zh-CN"/>
        </w:rPr>
      </w:pPr>
      <w:r>
        <w:rPr>
          <w:rFonts w:hint="eastAsia" w:ascii="仿宋" w:hAnsi="仿宋" w:cs="仿宋"/>
          <w:b/>
          <w:color w:val="000000"/>
          <w:kern w:val="2"/>
          <w:sz w:val="32"/>
          <w:szCs w:val="24"/>
          <w:lang w:val="en-US" w:eastAsia="zh-CN"/>
        </w:rPr>
        <w:t>3.</w:t>
      </w:r>
      <w:r>
        <w:rPr>
          <w:rFonts w:hint="eastAsia" w:ascii="仿宋" w:hAnsi="仿宋" w:eastAsia="仿宋" w:cs="仿宋"/>
          <w:b/>
          <w:color w:val="000000"/>
          <w:kern w:val="2"/>
          <w:sz w:val="32"/>
          <w:szCs w:val="24"/>
          <w:lang w:val="zh-CN"/>
        </w:rPr>
        <w:t>公务接待费</w:t>
      </w:r>
      <w:r>
        <w:rPr>
          <w:rFonts w:hint="eastAsia" w:ascii="仿宋" w:hAnsi="仿宋" w:eastAsia="仿宋" w:cs="仿宋"/>
          <w:color w:val="000000"/>
          <w:kern w:val="2"/>
          <w:sz w:val="32"/>
          <w:szCs w:val="24"/>
          <w:lang w:val="zh-CN"/>
        </w:rPr>
        <w:t>支出1.2万元，完成预算100%。</w:t>
      </w:r>
      <w:r>
        <w:rPr>
          <w:rFonts w:hint="eastAsia" w:ascii="仿宋" w:hAnsi="仿宋" w:eastAsia="仿宋" w:cs="仿宋"/>
          <w:b w:val="0"/>
          <w:bCs w:val="0"/>
          <w:color w:val="auto"/>
          <w:kern w:val="2"/>
          <w:sz w:val="32"/>
          <w:szCs w:val="32"/>
          <w:lang w:val="en-US" w:eastAsia="zh-CN" w:bidi="ar-SA"/>
        </w:rPr>
        <w:t>公务接待费支出决算与2021年相比减少0.2万元。</w:t>
      </w:r>
      <w:r>
        <w:rPr>
          <w:rFonts w:hint="eastAsia" w:ascii="仿宋" w:hAnsi="仿宋" w:eastAsia="仿宋" w:cs="仿宋"/>
          <w:b/>
          <w:color w:val="000000"/>
          <w:kern w:val="2"/>
          <w:sz w:val="32"/>
          <w:szCs w:val="24"/>
          <w:lang w:val="en-US" w:eastAsia="zh-CN"/>
        </w:rPr>
        <w:t>其中</w:t>
      </w:r>
      <w:r>
        <w:rPr>
          <w:rFonts w:hint="eastAsia" w:ascii="仿宋" w:hAnsi="仿宋" w:cs="仿宋"/>
          <w:b/>
          <w:color w:val="000000"/>
          <w:kern w:val="2"/>
          <w:sz w:val="32"/>
          <w:szCs w:val="24"/>
          <w:lang w:val="en-US" w:eastAsia="zh-CN"/>
        </w:rPr>
        <w:t>：</w:t>
      </w:r>
    </w:p>
    <w:p>
      <w:pPr>
        <w:bidi w:val="0"/>
        <w:ind w:firstLine="643" w:firstLineChars="200"/>
        <w:rPr>
          <w:rFonts w:hint="eastAsia" w:ascii="仿宋" w:hAnsi="仿宋" w:eastAsia="仿宋" w:cs="仿宋"/>
          <w:color w:val="000000"/>
          <w:kern w:val="2"/>
          <w:sz w:val="32"/>
          <w:szCs w:val="24"/>
          <w:lang w:val="en-US"/>
        </w:rPr>
      </w:pPr>
      <w:r>
        <w:rPr>
          <w:rFonts w:hint="eastAsia" w:ascii="仿宋" w:hAnsi="仿宋" w:eastAsia="仿宋" w:cs="仿宋"/>
          <w:b/>
          <w:color w:val="000000"/>
          <w:kern w:val="2"/>
          <w:sz w:val="32"/>
          <w:szCs w:val="24"/>
          <w:lang w:val="zh-CN"/>
        </w:rPr>
        <w:t>国内公务接待</w:t>
      </w:r>
      <w:r>
        <w:rPr>
          <w:rFonts w:hint="eastAsia" w:ascii="仿宋" w:hAnsi="仿宋" w:eastAsia="仿宋" w:cs="仿宋"/>
          <w:color w:val="000000"/>
          <w:kern w:val="2"/>
          <w:sz w:val="32"/>
          <w:szCs w:val="24"/>
          <w:lang w:val="zh-CN"/>
        </w:rPr>
        <w:t>支出1.2万元。主要用于</w:t>
      </w:r>
      <w:r>
        <w:rPr>
          <w:rFonts w:hint="eastAsia" w:ascii="仿宋" w:hAnsi="仿宋" w:eastAsia="仿宋" w:cs="仿宋"/>
          <w:color w:val="000000"/>
          <w:kern w:val="2"/>
          <w:sz w:val="32"/>
          <w:szCs w:val="24"/>
          <w:highlight w:val="white"/>
          <w:lang w:val="en-US"/>
        </w:rPr>
        <w:t>执行公务、开展业务活动开支的交通费、住宿费、用餐费等。</w:t>
      </w:r>
      <w:r>
        <w:rPr>
          <w:rFonts w:hint="eastAsia" w:ascii="仿宋" w:hAnsi="仿宋" w:eastAsia="仿宋" w:cs="仿宋"/>
          <w:color w:val="000000"/>
          <w:kern w:val="2"/>
          <w:sz w:val="32"/>
          <w:szCs w:val="24"/>
          <w:lang w:val="zh-CN"/>
        </w:rPr>
        <w:t>国内公务接待10批次，120人次，共计支出1.2万元。</w:t>
      </w:r>
    </w:p>
    <w:p>
      <w:pPr>
        <w:pStyle w:val="4"/>
        <w:numPr>
          <w:ilvl w:val="0"/>
          <w:numId w:val="2"/>
        </w:numPr>
        <w:bidi w:val="0"/>
        <w:rPr>
          <w:rFonts w:hint="eastAsia"/>
          <w:lang w:val="zh-CN"/>
        </w:rPr>
      </w:pPr>
      <w:bookmarkStart w:id="11" w:name="_Toc14487"/>
      <w:r>
        <w:rPr>
          <w:rFonts w:hint="eastAsia"/>
          <w:lang w:val="zh-CN"/>
        </w:rPr>
        <w:t>政府性基金预算支出决算情况说明</w:t>
      </w:r>
      <w:bookmarkEnd w:id="11"/>
    </w:p>
    <w:p>
      <w:pPr>
        <w:pStyle w:val="4"/>
        <w:numPr>
          <w:ilvl w:val="0"/>
          <w:numId w:val="0"/>
        </w:numPr>
        <w:bidi w:val="0"/>
        <w:ind w:firstLine="640" w:firstLineChars="200"/>
        <w:rPr>
          <w:rFonts w:hint="eastAsia" w:ascii="仿宋" w:hAnsi="仿宋" w:eastAsia="仿宋" w:cs="仿宋"/>
          <w:color w:val="000000"/>
          <w:kern w:val="2"/>
          <w:sz w:val="32"/>
          <w:szCs w:val="24"/>
          <w:lang w:val="zh-CN"/>
        </w:rPr>
      </w:pPr>
      <w:bookmarkStart w:id="12" w:name="_Toc25877"/>
      <w:r>
        <w:rPr>
          <w:rFonts w:hint="eastAsia" w:ascii="仿宋" w:hAnsi="仿宋" w:eastAsia="仿宋" w:cs="仿宋"/>
          <w:color w:val="000000"/>
          <w:kern w:val="2"/>
          <w:sz w:val="32"/>
          <w:szCs w:val="24"/>
          <w:lang w:val="zh-CN"/>
        </w:rPr>
        <w:t>2022年政府性基金预算拨款支出0万元。</w:t>
      </w:r>
      <w:bookmarkEnd w:id="12"/>
    </w:p>
    <w:p>
      <w:pPr>
        <w:pStyle w:val="4"/>
        <w:bidi w:val="0"/>
        <w:rPr>
          <w:rFonts w:hint="eastAsia"/>
          <w:lang w:val="zh-CN"/>
        </w:rPr>
      </w:pPr>
      <w:bookmarkStart w:id="13" w:name="_Toc13628"/>
      <w:r>
        <w:rPr>
          <w:rFonts w:hint="eastAsia"/>
          <w:lang w:val="zh-CN"/>
        </w:rPr>
        <w:t>九、国有资本经营预算支出决算情况说明</w:t>
      </w:r>
      <w:bookmarkEnd w:id="13"/>
    </w:p>
    <w:p>
      <w:pPr>
        <w:spacing w:line="576" w:lineRule="exact"/>
        <w:ind w:firstLine="640"/>
        <w:jc w:val="both"/>
        <w:rPr>
          <w:rFonts w:hint="eastAsia" w:ascii="仿宋" w:hAnsi="仿宋" w:eastAsia="仿宋" w:cs="仿宋"/>
          <w:color w:val="000000"/>
          <w:kern w:val="2"/>
          <w:sz w:val="32"/>
          <w:szCs w:val="24"/>
          <w:lang w:val="zh-CN"/>
        </w:rPr>
      </w:pPr>
      <w:r>
        <w:rPr>
          <w:rFonts w:hint="eastAsia" w:ascii="仿宋" w:hAnsi="仿宋" w:eastAsia="仿宋" w:cs="仿宋"/>
          <w:color w:val="000000"/>
          <w:kern w:val="2"/>
          <w:sz w:val="32"/>
          <w:szCs w:val="24"/>
          <w:lang w:val="zh-CN"/>
        </w:rPr>
        <w:t>2022年国有资本经营预算拨款支出0万元。</w:t>
      </w:r>
    </w:p>
    <w:p>
      <w:pPr>
        <w:pStyle w:val="4"/>
        <w:bidi w:val="0"/>
        <w:rPr>
          <w:rFonts w:hint="eastAsia"/>
          <w:lang w:val="zh-CN"/>
        </w:rPr>
      </w:pPr>
      <w:bookmarkStart w:id="14" w:name="_Toc26127"/>
      <w:r>
        <w:rPr>
          <w:rFonts w:hint="eastAsia"/>
          <w:lang w:val="zh-CN"/>
        </w:rPr>
        <w:t>十、其他重要事项的情况说明</w:t>
      </w:r>
      <w:bookmarkEnd w:id="14"/>
    </w:p>
    <w:p>
      <w:pPr>
        <w:keepNext/>
        <w:keepLines/>
        <w:spacing w:line="576" w:lineRule="exact"/>
        <w:ind w:firstLine="643"/>
        <w:jc w:val="both"/>
        <w:rPr>
          <w:rFonts w:hint="eastAsia" w:ascii="仿宋" w:hAnsi="仿宋" w:eastAsia="仿宋" w:cs="仿宋"/>
          <w:color w:val="000000"/>
          <w:kern w:val="2"/>
          <w:sz w:val="32"/>
          <w:szCs w:val="24"/>
          <w:lang w:val="zh-CN"/>
        </w:rPr>
      </w:pPr>
      <w:r>
        <w:rPr>
          <w:rFonts w:hint="eastAsia" w:ascii="仿宋" w:hAnsi="仿宋" w:eastAsia="仿宋" w:cs="仿宋"/>
          <w:b/>
          <w:color w:val="000000"/>
          <w:kern w:val="2"/>
          <w:sz w:val="32"/>
          <w:szCs w:val="24"/>
          <w:lang w:val="zh-CN"/>
        </w:rPr>
        <w:t>（一）机关运行经费支出情况</w:t>
      </w:r>
    </w:p>
    <w:p>
      <w:pPr>
        <w:spacing w:line="576" w:lineRule="exact"/>
        <w:ind w:firstLine="640"/>
        <w:jc w:val="both"/>
        <w:rPr>
          <w:rFonts w:hint="eastAsia" w:ascii="仿宋" w:hAnsi="仿宋" w:eastAsia="仿宋" w:cs="仿宋"/>
          <w:color w:val="000000"/>
          <w:kern w:val="2"/>
          <w:sz w:val="32"/>
          <w:szCs w:val="24"/>
          <w:lang w:val="zh-CN" w:eastAsia="zh-CN"/>
        </w:rPr>
      </w:pPr>
      <w:r>
        <w:rPr>
          <w:rFonts w:hint="eastAsia" w:ascii="仿宋" w:hAnsi="仿宋" w:eastAsia="仿宋" w:cs="仿宋"/>
          <w:color w:val="000000"/>
          <w:kern w:val="2"/>
          <w:sz w:val="32"/>
          <w:szCs w:val="24"/>
          <w:lang w:val="zh-CN"/>
        </w:rPr>
        <w:t>2022年，泸县总工会机关运行经费支出38.08万元，</w:t>
      </w:r>
      <w:r>
        <w:rPr>
          <w:rFonts w:hint="eastAsia" w:ascii="仿宋" w:hAnsi="仿宋" w:eastAsia="仿宋" w:cs="仿宋"/>
          <w:color w:val="auto"/>
          <w:kern w:val="2"/>
          <w:sz w:val="32"/>
          <w:szCs w:val="24"/>
          <w:lang w:val="en-US"/>
        </w:rPr>
        <w:t>与2021年决算数持平</w:t>
      </w:r>
      <w:r>
        <w:rPr>
          <w:rFonts w:hint="eastAsia" w:ascii="仿宋" w:hAnsi="仿宋" w:eastAsia="仿宋" w:cs="仿宋"/>
          <w:color w:val="auto"/>
          <w:kern w:val="2"/>
          <w:sz w:val="32"/>
          <w:szCs w:val="24"/>
          <w:lang w:val="en-US" w:eastAsia="zh-CN"/>
        </w:rPr>
        <w:t>。</w:t>
      </w:r>
    </w:p>
    <w:p>
      <w:pPr>
        <w:keepNext/>
        <w:keepLines/>
        <w:spacing w:line="576" w:lineRule="exact"/>
        <w:ind w:firstLine="643"/>
        <w:jc w:val="both"/>
        <w:rPr>
          <w:rFonts w:hint="eastAsia" w:ascii="仿宋" w:hAnsi="仿宋" w:eastAsia="仿宋" w:cs="仿宋"/>
          <w:b/>
          <w:color w:val="000000"/>
          <w:kern w:val="2"/>
          <w:sz w:val="32"/>
          <w:szCs w:val="24"/>
          <w:lang w:val="zh-CN"/>
        </w:rPr>
      </w:pPr>
      <w:r>
        <w:rPr>
          <w:rFonts w:hint="eastAsia" w:ascii="仿宋" w:hAnsi="仿宋" w:eastAsia="仿宋" w:cs="仿宋"/>
          <w:b/>
          <w:color w:val="000000"/>
          <w:kern w:val="2"/>
          <w:sz w:val="32"/>
          <w:szCs w:val="24"/>
          <w:lang w:val="zh-CN"/>
        </w:rPr>
        <w:t>（二）政府采购支出情况</w:t>
      </w:r>
    </w:p>
    <w:p>
      <w:pPr>
        <w:spacing w:line="576" w:lineRule="exact"/>
        <w:ind w:firstLine="640"/>
        <w:jc w:val="both"/>
        <w:rPr>
          <w:rFonts w:hint="eastAsia" w:ascii="仿宋" w:hAnsi="仿宋" w:eastAsia="仿宋" w:cs="仿宋"/>
          <w:b/>
          <w:color w:val="auto"/>
          <w:kern w:val="2"/>
          <w:sz w:val="32"/>
          <w:szCs w:val="24"/>
          <w:lang w:val="en-US"/>
        </w:rPr>
      </w:pPr>
      <w:r>
        <w:rPr>
          <w:rFonts w:hint="eastAsia" w:ascii="仿宋" w:hAnsi="仿宋" w:eastAsia="仿宋" w:cs="仿宋"/>
          <w:color w:val="000000"/>
          <w:kern w:val="2"/>
          <w:sz w:val="32"/>
          <w:szCs w:val="24"/>
          <w:lang w:val="zh-CN"/>
        </w:rPr>
        <w:t>2022年，泸县总工会政府采购支出总额0万元，其中：政府采购货物支出0万元、政府采购工程支出0万元、政府采购服务支出0万元。</w:t>
      </w:r>
    </w:p>
    <w:p>
      <w:pPr>
        <w:keepNext/>
        <w:keepLines/>
        <w:spacing w:line="576" w:lineRule="exact"/>
        <w:ind w:firstLine="643"/>
        <w:jc w:val="both"/>
        <w:rPr>
          <w:rFonts w:hint="eastAsia" w:ascii="仿宋" w:hAnsi="仿宋" w:eastAsia="仿宋" w:cs="仿宋"/>
          <w:b/>
          <w:color w:val="000000"/>
          <w:kern w:val="2"/>
          <w:sz w:val="32"/>
          <w:szCs w:val="24"/>
          <w:lang w:val="zh-CN"/>
        </w:rPr>
      </w:pPr>
      <w:r>
        <w:rPr>
          <w:rFonts w:hint="eastAsia" w:ascii="仿宋" w:hAnsi="仿宋" w:eastAsia="仿宋" w:cs="仿宋"/>
          <w:b/>
          <w:color w:val="000000"/>
          <w:kern w:val="2"/>
          <w:sz w:val="32"/>
          <w:szCs w:val="24"/>
          <w:lang w:val="zh-CN"/>
        </w:rPr>
        <w:t>（三）国有资产占有使用情况</w:t>
      </w:r>
    </w:p>
    <w:p>
      <w:pPr>
        <w:spacing w:line="600" w:lineRule="exact"/>
        <w:ind w:firstLine="643"/>
        <w:rPr>
          <w:rFonts w:hint="eastAsia" w:ascii="仿宋" w:hAnsi="仿宋" w:eastAsia="仿宋" w:cs="仿宋"/>
          <w:b/>
          <w:color w:val="auto"/>
          <w:kern w:val="2"/>
          <w:sz w:val="32"/>
          <w:szCs w:val="24"/>
          <w:lang w:val="en-US" w:eastAsia="zh-CN"/>
        </w:rPr>
      </w:pPr>
      <w:r>
        <w:rPr>
          <w:rFonts w:hint="eastAsia" w:ascii="仿宋" w:hAnsi="仿宋" w:eastAsia="仿宋" w:cs="仿宋"/>
          <w:color w:val="000000"/>
          <w:kern w:val="2"/>
          <w:sz w:val="32"/>
          <w:szCs w:val="24"/>
          <w:lang w:val="zh-CN"/>
        </w:rPr>
        <w:t>截至2022年12月31日，泸县总工会</w:t>
      </w:r>
      <w:r>
        <w:rPr>
          <w:rFonts w:hint="eastAsia" w:ascii="仿宋" w:hAnsi="仿宋" w:eastAsia="仿宋" w:cs="仿宋"/>
          <w:color w:val="000000"/>
          <w:kern w:val="2"/>
          <w:sz w:val="32"/>
          <w:szCs w:val="24"/>
          <w:lang w:val="en-US" w:eastAsia="zh-CN"/>
        </w:rPr>
        <w:t>无公务用车</w:t>
      </w:r>
    </w:p>
    <w:p>
      <w:pPr>
        <w:keepNext/>
        <w:keepLines/>
        <w:spacing w:line="576" w:lineRule="exact"/>
        <w:ind w:firstLine="643"/>
        <w:jc w:val="both"/>
        <w:rPr>
          <w:rFonts w:hint="eastAsia" w:ascii="仿宋" w:hAnsi="仿宋" w:eastAsia="仿宋" w:cs="仿宋"/>
          <w:b/>
          <w:color w:val="000000"/>
          <w:kern w:val="2"/>
          <w:sz w:val="32"/>
          <w:szCs w:val="24"/>
          <w:lang w:val="zh-CN"/>
        </w:rPr>
      </w:pPr>
      <w:r>
        <w:rPr>
          <w:rFonts w:hint="eastAsia" w:ascii="仿宋" w:hAnsi="仿宋" w:eastAsia="仿宋" w:cs="仿宋"/>
          <w:b/>
          <w:color w:val="000000"/>
          <w:kern w:val="2"/>
          <w:sz w:val="32"/>
          <w:szCs w:val="24"/>
          <w:lang w:val="zh-CN"/>
        </w:rPr>
        <w:t>（四）预算绩效管理情况。</w:t>
      </w:r>
    </w:p>
    <w:p>
      <w:pPr>
        <w:spacing w:line="576" w:lineRule="exact"/>
        <w:ind w:firstLine="643"/>
        <w:jc w:val="both"/>
        <w:rPr>
          <w:rFonts w:hint="eastAsia" w:ascii="仿宋" w:hAnsi="仿宋" w:eastAsia="仿宋" w:cs="仿宋"/>
          <w:color w:val="auto"/>
          <w:kern w:val="2"/>
          <w:sz w:val="32"/>
          <w:szCs w:val="24"/>
          <w:lang w:val="en-US"/>
        </w:rPr>
      </w:pPr>
      <w:r>
        <w:rPr>
          <w:rFonts w:hint="eastAsia" w:ascii="仿宋" w:hAnsi="仿宋" w:eastAsia="仿宋" w:cs="仿宋"/>
          <w:color w:val="auto"/>
          <w:kern w:val="2"/>
          <w:sz w:val="32"/>
          <w:szCs w:val="24"/>
          <w:lang w:val="en-US"/>
        </w:rPr>
        <w:t>根据预算绩效管理要求，本单位在2022年度预算编制阶段，对</w:t>
      </w:r>
      <w:r>
        <w:rPr>
          <w:rFonts w:hint="eastAsia" w:ascii="仿宋" w:hAnsi="仿宋" w:eastAsia="仿宋" w:cs="仿宋"/>
          <w:color w:val="auto"/>
          <w:kern w:val="2"/>
          <w:sz w:val="32"/>
          <w:szCs w:val="24"/>
          <w:lang w:val="en-US" w:eastAsia="zh-CN"/>
        </w:rPr>
        <w:t>1</w:t>
      </w:r>
      <w:r>
        <w:rPr>
          <w:rFonts w:hint="eastAsia" w:ascii="仿宋" w:hAnsi="仿宋" w:eastAsia="仿宋" w:cs="仿宋"/>
          <w:color w:val="auto"/>
          <w:kern w:val="2"/>
          <w:sz w:val="32"/>
          <w:szCs w:val="24"/>
          <w:lang w:val="en-US"/>
        </w:rPr>
        <w:t>个项目编制了绩效目标，预算执行过程中，选取</w:t>
      </w:r>
      <w:r>
        <w:rPr>
          <w:rFonts w:hint="eastAsia" w:ascii="仿宋" w:hAnsi="仿宋" w:eastAsia="仿宋" w:cs="仿宋"/>
          <w:color w:val="auto"/>
          <w:kern w:val="2"/>
          <w:sz w:val="32"/>
          <w:szCs w:val="24"/>
          <w:lang w:val="en-US" w:eastAsia="zh-CN"/>
        </w:rPr>
        <w:t>1</w:t>
      </w:r>
      <w:r>
        <w:rPr>
          <w:rFonts w:hint="eastAsia" w:ascii="仿宋" w:hAnsi="仿宋" w:eastAsia="仿宋" w:cs="仿宋"/>
          <w:color w:val="auto"/>
          <w:kern w:val="2"/>
          <w:sz w:val="32"/>
          <w:szCs w:val="24"/>
          <w:lang w:val="en-US"/>
        </w:rPr>
        <w:t>个项目开展绩效监控，组织对</w:t>
      </w:r>
      <w:r>
        <w:rPr>
          <w:rFonts w:hint="eastAsia" w:ascii="仿宋" w:hAnsi="仿宋" w:eastAsia="仿宋" w:cs="仿宋"/>
          <w:color w:val="auto"/>
          <w:kern w:val="2"/>
          <w:sz w:val="32"/>
          <w:szCs w:val="24"/>
          <w:lang w:val="en-US" w:eastAsia="zh-CN"/>
        </w:rPr>
        <w:t>1</w:t>
      </w:r>
      <w:r>
        <w:rPr>
          <w:rFonts w:hint="eastAsia" w:ascii="仿宋" w:hAnsi="仿宋" w:eastAsia="仿宋" w:cs="仿宋"/>
          <w:color w:val="auto"/>
          <w:kern w:val="2"/>
          <w:sz w:val="32"/>
          <w:szCs w:val="24"/>
          <w:lang w:val="en-US"/>
        </w:rPr>
        <w:t>个项目开展绩效自评，2022年部门整体支出绩效报告</w:t>
      </w:r>
      <w:r>
        <w:rPr>
          <w:rFonts w:hint="eastAsia" w:ascii="仿宋" w:hAnsi="仿宋" w:cs="仿宋"/>
          <w:color w:val="auto"/>
          <w:kern w:val="2"/>
          <w:sz w:val="32"/>
          <w:szCs w:val="24"/>
          <w:lang w:val="en-US" w:eastAsia="zh-CN"/>
        </w:rPr>
        <w:t>和</w:t>
      </w:r>
      <w:r>
        <w:rPr>
          <w:rFonts w:hint="eastAsia" w:ascii="仿宋" w:hAnsi="仿宋" w:eastAsia="仿宋" w:cs="仿宋"/>
          <w:color w:val="auto"/>
          <w:kern w:val="2"/>
          <w:sz w:val="32"/>
          <w:szCs w:val="24"/>
          <w:lang w:val="en-US"/>
        </w:rPr>
        <w:t>绩效自评表详见第四部分附件。</w:t>
      </w:r>
    </w:p>
    <w:p>
      <w:pPr>
        <w:spacing w:line="576" w:lineRule="exact"/>
        <w:ind w:firstLine="643"/>
        <w:jc w:val="both"/>
        <w:rPr>
          <w:rFonts w:hint="eastAsia" w:ascii="仿宋" w:hAnsi="仿宋" w:eastAsia="仿宋" w:cs="仿宋"/>
          <w:b/>
          <w:color w:val="000000"/>
          <w:kern w:val="2"/>
          <w:sz w:val="32"/>
          <w:szCs w:val="24"/>
          <w:lang w:val="zh-CN"/>
        </w:rPr>
      </w:pPr>
    </w:p>
    <w:p>
      <w:pPr>
        <w:keepNext/>
        <w:keepLines/>
        <w:spacing w:line="576" w:lineRule="exact"/>
        <w:jc w:val="center"/>
        <w:rPr>
          <w:rFonts w:hint="eastAsia" w:ascii="仿宋" w:hAnsi="仿宋" w:eastAsia="仿宋" w:cs="仿宋"/>
          <w:color w:val="000000"/>
          <w:kern w:val="2"/>
          <w:sz w:val="44"/>
          <w:szCs w:val="24"/>
          <w:lang w:val="zh-CN"/>
        </w:rPr>
      </w:pPr>
    </w:p>
    <w:p>
      <w:pPr>
        <w:pStyle w:val="2"/>
        <w:rPr>
          <w:rFonts w:hint="eastAsia" w:ascii="仿宋" w:hAnsi="仿宋" w:eastAsia="仿宋" w:cs="仿宋"/>
          <w:color w:val="000000"/>
          <w:kern w:val="2"/>
          <w:sz w:val="44"/>
          <w:szCs w:val="24"/>
          <w:lang w:val="zh-CN"/>
        </w:rPr>
      </w:pPr>
    </w:p>
    <w:p>
      <w:pPr>
        <w:rPr>
          <w:rFonts w:hint="eastAsia"/>
          <w:lang w:val="zh-CN"/>
        </w:rPr>
      </w:pPr>
    </w:p>
    <w:p>
      <w:pPr>
        <w:keepNext/>
        <w:keepLines/>
        <w:spacing w:line="576" w:lineRule="exact"/>
        <w:jc w:val="both"/>
        <w:rPr>
          <w:rFonts w:hint="eastAsia" w:ascii="仿宋" w:hAnsi="仿宋" w:eastAsia="仿宋" w:cs="仿宋"/>
          <w:color w:val="000000"/>
          <w:kern w:val="2"/>
          <w:sz w:val="44"/>
          <w:szCs w:val="24"/>
          <w:lang w:val="zh-CN"/>
        </w:rPr>
      </w:pPr>
    </w:p>
    <w:p>
      <w:pPr>
        <w:pStyle w:val="2"/>
        <w:rPr>
          <w:rFonts w:hint="eastAsia"/>
          <w:lang w:val="zh-CN"/>
        </w:rPr>
      </w:pPr>
    </w:p>
    <w:p>
      <w:pPr>
        <w:rPr>
          <w:rFonts w:hint="eastAsia"/>
          <w:lang w:val="zh-CN"/>
        </w:rPr>
      </w:pPr>
    </w:p>
    <w:p>
      <w:pPr>
        <w:pStyle w:val="3"/>
        <w:bidi w:val="0"/>
        <w:rPr>
          <w:rFonts w:hint="eastAsia"/>
          <w:lang w:val="zh-CN"/>
        </w:rPr>
      </w:pPr>
      <w:bookmarkStart w:id="15" w:name="_Toc18737"/>
      <w:r>
        <w:rPr>
          <w:rFonts w:hint="eastAsia"/>
          <w:lang w:val="zh-CN"/>
        </w:rPr>
        <w:t>第三部分 名词解释</w:t>
      </w:r>
      <w:bookmarkEnd w:id="15"/>
    </w:p>
    <w:p>
      <w:pPr>
        <w:bidi w:val="0"/>
        <w:ind w:firstLine="640" w:firstLineChars="200"/>
        <w:outlineLvl w:val="1"/>
        <w:rPr>
          <w:rFonts w:hint="eastAsia"/>
        </w:rPr>
      </w:pPr>
      <w:bookmarkStart w:id="16" w:name="_Toc25349"/>
      <w:bookmarkStart w:id="17" w:name="_Toc29359"/>
      <w:r>
        <w:rPr>
          <w:rFonts w:hint="eastAsia"/>
        </w:rPr>
        <w:t>1.财政拨款收入：指单位从同级财政部门取得的财政预算资金。</w:t>
      </w:r>
      <w:bookmarkEnd w:id="16"/>
      <w:bookmarkEnd w:id="17"/>
    </w:p>
    <w:p>
      <w:pPr>
        <w:bidi w:val="0"/>
        <w:ind w:firstLine="640" w:firstLineChars="200"/>
        <w:rPr>
          <w:rFonts w:hint="eastAsia"/>
        </w:rPr>
      </w:pPr>
      <w:r>
        <w:rPr>
          <w:rFonts w:hint="eastAsia"/>
        </w:rPr>
        <w:t>2.事业收入：指事业单位开展专业业务活动及辅助活动取得的收入。</w:t>
      </w:r>
    </w:p>
    <w:p>
      <w:pPr>
        <w:bidi w:val="0"/>
        <w:ind w:firstLine="640" w:firstLineChars="200"/>
        <w:rPr>
          <w:rFonts w:hint="eastAsia"/>
        </w:rPr>
      </w:pPr>
      <w:r>
        <w:rPr>
          <w:rFonts w:hint="eastAsia"/>
        </w:rPr>
        <w:t>3.使用非财政拨款结余：指事业单位使用以前年度积累的非财政拨款结余弥补当年收支差额的金额。</w:t>
      </w:r>
    </w:p>
    <w:p>
      <w:pPr>
        <w:bidi w:val="0"/>
        <w:ind w:firstLine="640" w:firstLineChars="200"/>
        <w:rPr>
          <w:rFonts w:hint="eastAsia"/>
        </w:rPr>
      </w:pPr>
      <w:r>
        <w:rPr>
          <w:rFonts w:hint="eastAsia"/>
        </w:rPr>
        <w:t>4.年初结转和结余：指以前年度尚未完成、结转到本年按有关规定继续使用的资金。</w:t>
      </w:r>
    </w:p>
    <w:p>
      <w:pPr>
        <w:bidi w:val="0"/>
        <w:ind w:firstLine="640" w:firstLineChars="200"/>
        <w:rPr>
          <w:rFonts w:hint="eastAsia"/>
        </w:rPr>
      </w:pPr>
      <w:r>
        <w:rPr>
          <w:rFonts w:hint="eastAsia"/>
        </w:rPr>
        <w:t>5.结余分配：指事业单位按照会计制度规定缴纳的所得税、提取的专用结余以及转入非财政拨款结余的金额等。</w:t>
      </w:r>
    </w:p>
    <w:p>
      <w:pPr>
        <w:bidi w:val="0"/>
        <w:ind w:firstLine="640" w:firstLineChars="200"/>
        <w:rPr>
          <w:rFonts w:hint="eastAsia"/>
        </w:rPr>
      </w:pPr>
      <w:r>
        <w:rPr>
          <w:rFonts w:hint="eastAsia"/>
        </w:rPr>
        <w:t>6、年末结转和结余：指单位按有关规定结转到下年或以后年度继续使用的资金。</w:t>
      </w:r>
    </w:p>
    <w:p>
      <w:pPr>
        <w:bidi w:val="0"/>
        <w:ind w:firstLine="640" w:firstLineChars="200"/>
        <w:rPr>
          <w:rFonts w:hint="eastAsia"/>
          <w:lang w:eastAsia="zh-CN"/>
        </w:rPr>
      </w:pPr>
      <w:r>
        <w:rPr>
          <w:rFonts w:hint="eastAsia"/>
          <w:lang w:val="en-US" w:eastAsia="zh-CN"/>
        </w:rPr>
        <w:t>7</w:t>
      </w:r>
      <w:r>
        <w:rPr>
          <w:rFonts w:hint="eastAsia"/>
        </w:rPr>
        <w:t>.社会保障和就业（类）</w:t>
      </w:r>
      <w:r>
        <w:rPr>
          <w:rFonts w:hint="eastAsia"/>
          <w:lang w:eastAsia="zh-CN"/>
        </w:rPr>
        <w:t>人力资源和社会保障管理事务</w:t>
      </w:r>
      <w:r>
        <w:rPr>
          <w:rFonts w:hint="eastAsia"/>
        </w:rPr>
        <w:t>（款）</w:t>
      </w:r>
      <w:r>
        <w:rPr>
          <w:rFonts w:hint="eastAsia"/>
          <w:lang w:eastAsia="zh-CN"/>
        </w:rPr>
        <w:t>事业运行</w:t>
      </w:r>
      <w:r>
        <w:rPr>
          <w:rFonts w:hint="eastAsia"/>
        </w:rPr>
        <w:t>（项）：指</w:t>
      </w:r>
      <w:r>
        <w:rPr>
          <w:rFonts w:hint="eastAsia"/>
          <w:lang w:eastAsia="zh-CN"/>
        </w:rPr>
        <w:t>反映事业单位的基本支出。</w:t>
      </w:r>
    </w:p>
    <w:p>
      <w:pPr>
        <w:bidi w:val="0"/>
        <w:rPr>
          <w:rFonts w:hint="eastAsia"/>
          <w:lang w:eastAsia="zh-CN"/>
        </w:rPr>
      </w:pPr>
      <w:r>
        <w:rPr>
          <w:rFonts w:hint="eastAsia"/>
        </w:rPr>
        <w:t>社会保障和就业（类）</w:t>
      </w:r>
      <w:r>
        <w:rPr>
          <w:rFonts w:hint="eastAsia"/>
          <w:lang w:eastAsia="zh-CN"/>
        </w:rPr>
        <w:t>人力资源和社会保障管理事务</w:t>
      </w:r>
      <w:r>
        <w:rPr>
          <w:rFonts w:hint="eastAsia"/>
        </w:rPr>
        <w:t>（款）</w:t>
      </w:r>
      <w:r>
        <w:rPr>
          <w:rFonts w:hint="eastAsia"/>
          <w:lang w:eastAsia="zh-CN"/>
        </w:rPr>
        <w:t>其他人力资源和社会保障管理事务支出</w:t>
      </w:r>
      <w:r>
        <w:rPr>
          <w:rFonts w:hint="eastAsia"/>
        </w:rPr>
        <w:t>（项）：指</w:t>
      </w:r>
      <w:r>
        <w:rPr>
          <w:rFonts w:hint="eastAsia"/>
          <w:lang w:eastAsia="zh-CN"/>
        </w:rPr>
        <w:t>反映除上述项目外其他用于人力资源和社会保障管理事务方面的支出。</w:t>
      </w:r>
    </w:p>
    <w:p>
      <w:pPr>
        <w:bidi w:val="0"/>
        <w:ind w:firstLine="640" w:firstLineChars="200"/>
        <w:rPr>
          <w:rFonts w:hint="eastAsia"/>
          <w:lang w:eastAsia="zh-CN"/>
        </w:rPr>
      </w:pPr>
      <w:r>
        <w:rPr>
          <w:rFonts w:hint="eastAsia"/>
          <w:lang w:val="en-US" w:eastAsia="zh-CN"/>
        </w:rPr>
        <w:t>8.</w:t>
      </w:r>
      <w:r>
        <w:rPr>
          <w:rFonts w:hint="eastAsia"/>
        </w:rPr>
        <w:t>社会保障和就业（类）</w:t>
      </w:r>
      <w:r>
        <w:rPr>
          <w:rFonts w:hint="eastAsia"/>
          <w:lang w:eastAsia="zh-CN"/>
        </w:rPr>
        <w:t>行政事业单位养老支出</w:t>
      </w:r>
      <w:r>
        <w:rPr>
          <w:rFonts w:hint="eastAsia"/>
        </w:rPr>
        <w:t>（款）</w:t>
      </w:r>
      <w:r>
        <w:rPr>
          <w:rFonts w:hint="eastAsia"/>
          <w:lang w:eastAsia="zh-CN"/>
        </w:rPr>
        <w:t>事业单位离退休</w:t>
      </w:r>
      <w:r>
        <w:rPr>
          <w:rFonts w:hint="eastAsia"/>
        </w:rPr>
        <w:t>（项）</w:t>
      </w:r>
      <w:r>
        <w:rPr>
          <w:rFonts w:hint="eastAsia"/>
          <w:lang w:eastAsia="zh-CN"/>
        </w:rPr>
        <w:t>：指反映事业单位开支的离退休经费。</w:t>
      </w:r>
    </w:p>
    <w:p>
      <w:pPr>
        <w:bidi w:val="0"/>
        <w:rPr>
          <w:rFonts w:hint="eastAsia"/>
          <w:lang w:eastAsia="zh-CN"/>
        </w:rPr>
      </w:pPr>
      <w:r>
        <w:rPr>
          <w:rFonts w:hint="eastAsia"/>
        </w:rPr>
        <w:t>社会保障和就业（类）</w:t>
      </w:r>
      <w:r>
        <w:rPr>
          <w:rFonts w:hint="eastAsia"/>
          <w:lang w:eastAsia="zh-CN"/>
        </w:rPr>
        <w:t>行政事业单位养老支出</w:t>
      </w:r>
      <w:r>
        <w:rPr>
          <w:rFonts w:hint="eastAsia"/>
        </w:rPr>
        <w:t>（款）</w:t>
      </w:r>
      <w:r>
        <w:rPr>
          <w:rFonts w:hint="eastAsia"/>
          <w:lang w:eastAsia="zh-CN"/>
        </w:rPr>
        <w:t>机关事业单位基本养老保险缴费支出</w:t>
      </w:r>
      <w:r>
        <w:rPr>
          <w:rFonts w:hint="eastAsia"/>
        </w:rPr>
        <w:t>（项）</w:t>
      </w:r>
      <w:r>
        <w:rPr>
          <w:rFonts w:hint="eastAsia"/>
          <w:lang w:eastAsia="zh-CN"/>
        </w:rPr>
        <w:t>：指反映机关事业单位实施养老保险制度由单位缴纳的基本养老保险费支出。</w:t>
      </w:r>
    </w:p>
    <w:p>
      <w:pPr>
        <w:bidi w:val="0"/>
        <w:rPr>
          <w:rFonts w:hint="eastAsia"/>
          <w:lang w:eastAsia="zh-CN"/>
        </w:rPr>
      </w:pPr>
      <w:r>
        <w:rPr>
          <w:rFonts w:hint="eastAsia"/>
        </w:rPr>
        <w:t>社会保障和就业（类）</w:t>
      </w:r>
      <w:r>
        <w:rPr>
          <w:rFonts w:hint="eastAsia"/>
          <w:lang w:eastAsia="zh-CN"/>
        </w:rPr>
        <w:t>行政事业单位养老支出</w:t>
      </w:r>
      <w:r>
        <w:rPr>
          <w:rFonts w:hint="eastAsia"/>
        </w:rPr>
        <w:t>（款）</w:t>
      </w:r>
      <w:r>
        <w:rPr>
          <w:rFonts w:hint="eastAsia"/>
          <w:lang w:eastAsia="zh-CN"/>
        </w:rPr>
        <w:t>机关事业单位职业年金缴费支出</w:t>
      </w:r>
      <w:r>
        <w:rPr>
          <w:rFonts w:hint="eastAsia"/>
        </w:rPr>
        <w:t>（项）</w:t>
      </w:r>
      <w:r>
        <w:rPr>
          <w:rFonts w:hint="eastAsia"/>
          <w:lang w:eastAsia="zh-CN"/>
        </w:rPr>
        <w:t>：指反映机关事业单位实施养老保险制度由单位实际缴纳的职业年金支出。</w:t>
      </w:r>
    </w:p>
    <w:p>
      <w:pPr>
        <w:bidi w:val="0"/>
        <w:ind w:firstLine="640" w:firstLineChars="200"/>
        <w:rPr>
          <w:rFonts w:hint="eastAsia"/>
          <w:lang w:val="en-US" w:eastAsia="zh-CN"/>
        </w:rPr>
      </w:pPr>
      <w:r>
        <w:rPr>
          <w:rFonts w:hint="eastAsia"/>
          <w:lang w:val="en-US" w:eastAsia="zh-CN"/>
        </w:rPr>
        <w:t>9.</w:t>
      </w:r>
      <w:r>
        <w:rPr>
          <w:rFonts w:hint="eastAsia"/>
        </w:rPr>
        <w:t>社会保障和就业（类）</w:t>
      </w:r>
      <w:r>
        <w:rPr>
          <w:rFonts w:hint="eastAsia"/>
          <w:lang w:eastAsia="zh-CN"/>
        </w:rPr>
        <w:t>就业补助</w:t>
      </w:r>
      <w:r>
        <w:rPr>
          <w:rFonts w:hint="eastAsia"/>
        </w:rPr>
        <w:t>（款）</w:t>
      </w:r>
      <w:r>
        <w:rPr>
          <w:rFonts w:hint="eastAsia"/>
          <w:lang w:eastAsia="zh-CN"/>
        </w:rPr>
        <w:t>其他就业补助支出</w:t>
      </w:r>
      <w:r>
        <w:rPr>
          <w:rFonts w:hint="eastAsia"/>
        </w:rPr>
        <w:t>（项）</w:t>
      </w:r>
      <w:r>
        <w:rPr>
          <w:rFonts w:hint="eastAsia"/>
          <w:lang w:eastAsia="zh-CN"/>
        </w:rPr>
        <w:t>：指反映除上述项目以外按规定确定的其他用于促进就业的补助支出。</w:t>
      </w:r>
    </w:p>
    <w:p>
      <w:pPr>
        <w:bidi w:val="0"/>
        <w:ind w:firstLine="640" w:firstLineChars="200"/>
        <w:rPr>
          <w:rFonts w:hint="eastAsia"/>
          <w:lang w:eastAsia="zh-CN"/>
        </w:rPr>
      </w:pPr>
      <w:r>
        <w:rPr>
          <w:rFonts w:hint="eastAsia"/>
          <w:lang w:val="en-US" w:eastAsia="zh-CN"/>
        </w:rPr>
        <w:t>10</w:t>
      </w:r>
      <w:r>
        <w:rPr>
          <w:rFonts w:hint="eastAsia"/>
        </w:rPr>
        <w:t>.卫生健康（类）</w:t>
      </w:r>
      <w:r>
        <w:rPr>
          <w:rFonts w:hint="eastAsia"/>
          <w:lang w:eastAsia="zh-CN"/>
        </w:rPr>
        <w:t>行政事业单位医疗</w:t>
      </w:r>
      <w:r>
        <w:rPr>
          <w:rFonts w:hint="eastAsia"/>
        </w:rPr>
        <w:t>（款）</w:t>
      </w:r>
      <w:r>
        <w:rPr>
          <w:rFonts w:hint="eastAsia"/>
          <w:lang w:eastAsia="zh-CN"/>
        </w:rPr>
        <w:t>事业单位医疗</w:t>
      </w:r>
      <w:r>
        <w:rPr>
          <w:rFonts w:hint="eastAsia"/>
        </w:rPr>
        <w:t>（项）</w:t>
      </w:r>
      <w:r>
        <w:rPr>
          <w:rFonts w:hint="eastAsia"/>
          <w:lang w:eastAsia="zh-CN"/>
        </w:rPr>
        <w:t>：指反映财政部门安排的事业单位基本医疗保险缴费经费，未参加医疗保险的事业单位的公费医疗经费，按国家规定享受离休人员待遇的医疗经费。</w:t>
      </w:r>
    </w:p>
    <w:p>
      <w:pPr>
        <w:bidi w:val="0"/>
        <w:rPr>
          <w:rFonts w:hint="eastAsia"/>
        </w:rPr>
      </w:pPr>
      <w:r>
        <w:rPr>
          <w:rFonts w:hint="eastAsia"/>
        </w:rPr>
        <w:t>卫生健康（类）</w:t>
      </w:r>
      <w:r>
        <w:rPr>
          <w:rFonts w:hint="eastAsia"/>
          <w:lang w:eastAsia="zh-CN"/>
        </w:rPr>
        <w:t>行政事业单位医疗</w:t>
      </w:r>
      <w:r>
        <w:rPr>
          <w:rFonts w:hint="eastAsia"/>
        </w:rPr>
        <w:t>（款）</w:t>
      </w:r>
      <w:r>
        <w:rPr>
          <w:rFonts w:hint="eastAsia"/>
          <w:lang w:eastAsia="zh-CN"/>
        </w:rPr>
        <w:t>公务员医疗补助</w:t>
      </w:r>
      <w:r>
        <w:rPr>
          <w:rFonts w:hint="eastAsia"/>
        </w:rPr>
        <w:t>（项）</w:t>
      </w:r>
      <w:r>
        <w:rPr>
          <w:rFonts w:hint="eastAsia"/>
          <w:lang w:eastAsia="zh-CN"/>
        </w:rPr>
        <w:t>：指</w:t>
      </w:r>
      <w:r>
        <w:rPr>
          <w:rFonts w:hint="eastAsia"/>
        </w:rPr>
        <w:t>反映财政部门安排的公务员医疗补助经费。</w:t>
      </w:r>
    </w:p>
    <w:p>
      <w:pPr>
        <w:bidi w:val="0"/>
        <w:rPr>
          <w:rFonts w:hint="eastAsia"/>
        </w:rPr>
      </w:pPr>
      <w:r>
        <w:rPr>
          <w:rFonts w:hint="eastAsia"/>
        </w:rPr>
        <w:t>卫生健康（类）</w:t>
      </w:r>
      <w:r>
        <w:rPr>
          <w:rFonts w:hint="eastAsia"/>
          <w:lang w:eastAsia="zh-CN"/>
        </w:rPr>
        <w:t>行政事业单位医疗</w:t>
      </w:r>
      <w:r>
        <w:rPr>
          <w:rFonts w:hint="eastAsia"/>
        </w:rPr>
        <w:t>（款）</w:t>
      </w:r>
      <w:r>
        <w:rPr>
          <w:rFonts w:hint="eastAsia"/>
          <w:lang w:eastAsia="zh-CN"/>
        </w:rPr>
        <w:t>其他行政事业单位医疗支出</w:t>
      </w:r>
      <w:r>
        <w:rPr>
          <w:rFonts w:hint="eastAsia"/>
        </w:rPr>
        <w:t>（项）</w:t>
      </w:r>
      <w:r>
        <w:rPr>
          <w:rFonts w:hint="eastAsia"/>
          <w:lang w:eastAsia="zh-CN"/>
        </w:rPr>
        <w:t>：指反映除上述项目以外的其他用于行政事业单位医疗方面的支出。</w:t>
      </w:r>
    </w:p>
    <w:p>
      <w:pPr>
        <w:bidi w:val="0"/>
        <w:ind w:firstLine="640" w:firstLineChars="200"/>
        <w:rPr>
          <w:rFonts w:hint="eastAsia"/>
          <w:lang w:eastAsia="zh-CN"/>
        </w:rPr>
      </w:pPr>
      <w:r>
        <w:rPr>
          <w:rFonts w:hint="eastAsia"/>
          <w:lang w:val="en-US" w:eastAsia="zh-CN"/>
        </w:rPr>
        <w:t>11</w:t>
      </w:r>
      <w:r>
        <w:rPr>
          <w:rFonts w:hint="eastAsia"/>
        </w:rPr>
        <w:t>.</w:t>
      </w:r>
      <w:r>
        <w:rPr>
          <w:rFonts w:hint="eastAsia"/>
          <w:lang w:eastAsia="zh-CN"/>
        </w:rPr>
        <w:t>住房保障</w:t>
      </w:r>
      <w:r>
        <w:rPr>
          <w:rFonts w:hint="eastAsia"/>
        </w:rPr>
        <w:t>（类）</w:t>
      </w:r>
      <w:r>
        <w:rPr>
          <w:rFonts w:hint="eastAsia"/>
          <w:lang w:eastAsia="zh-CN"/>
        </w:rPr>
        <w:t>住房改革支出</w:t>
      </w:r>
      <w:r>
        <w:rPr>
          <w:rFonts w:hint="eastAsia"/>
        </w:rPr>
        <w:t>（款）</w:t>
      </w:r>
      <w:r>
        <w:rPr>
          <w:rFonts w:hint="eastAsia"/>
          <w:lang w:eastAsia="zh-CN"/>
        </w:rPr>
        <w:t>住房公积金</w:t>
      </w:r>
      <w:r>
        <w:rPr>
          <w:rFonts w:hint="eastAsia"/>
        </w:rPr>
        <w:t>（项）</w:t>
      </w:r>
      <w:r>
        <w:rPr>
          <w:rFonts w:hint="eastAsia"/>
          <w:lang w:eastAsia="zh-CN"/>
        </w:rPr>
        <w:t>：指反映行政事业单位按人力资源和社会保障部、财政部规定</w:t>
      </w:r>
    </w:p>
    <w:p>
      <w:pPr>
        <w:bidi w:val="0"/>
        <w:rPr>
          <w:rFonts w:hint="eastAsia"/>
          <w:lang w:eastAsia="zh-CN"/>
        </w:rPr>
      </w:pPr>
      <w:r>
        <w:rPr>
          <w:rFonts w:hint="eastAsia"/>
          <w:lang w:eastAsia="zh-CN"/>
        </w:rPr>
        <w:t>的基本工资和津贴补贴以及规定比例为职工缴纳的住房公积金。</w:t>
      </w:r>
    </w:p>
    <w:p>
      <w:pPr>
        <w:bidi w:val="0"/>
        <w:rPr>
          <w:rFonts w:hint="eastAsia"/>
          <w:lang w:eastAsia="zh-CN"/>
        </w:rPr>
      </w:pPr>
      <w:r>
        <w:rPr>
          <w:rFonts w:hint="eastAsia"/>
          <w:lang w:eastAsia="zh-CN"/>
        </w:rPr>
        <w:t>住房保障</w:t>
      </w:r>
      <w:r>
        <w:rPr>
          <w:rFonts w:hint="eastAsia"/>
        </w:rPr>
        <w:t>（类）</w:t>
      </w:r>
      <w:r>
        <w:rPr>
          <w:rFonts w:hint="eastAsia"/>
          <w:lang w:eastAsia="zh-CN"/>
        </w:rPr>
        <w:t>住房改革支出</w:t>
      </w:r>
      <w:r>
        <w:rPr>
          <w:rFonts w:hint="eastAsia"/>
        </w:rPr>
        <w:t>（款）</w:t>
      </w:r>
      <w:r>
        <w:rPr>
          <w:rFonts w:hint="eastAsia"/>
          <w:lang w:eastAsia="zh-CN"/>
        </w:rPr>
        <w:t>购房补贴</w:t>
      </w:r>
      <w:r>
        <w:rPr>
          <w:rFonts w:hint="eastAsia"/>
        </w:rPr>
        <w:t>（项）</w:t>
      </w:r>
      <w:r>
        <w:rPr>
          <w:rFonts w:hint="eastAsia"/>
          <w:lang w:eastAsia="zh-CN"/>
        </w:rPr>
        <w:t>：指反映按房改政策规定，行政事业单位向符合条件职工（含离退休人员）、军队（含武警）向转役复员离退休人员发放的用于购买住房的补贴。</w:t>
      </w:r>
    </w:p>
    <w:p>
      <w:pPr>
        <w:bidi w:val="0"/>
        <w:ind w:firstLine="640" w:firstLineChars="200"/>
        <w:rPr>
          <w:rFonts w:hint="eastAsia"/>
        </w:rPr>
      </w:pPr>
      <w:r>
        <w:rPr>
          <w:rFonts w:hint="eastAsia"/>
          <w:lang w:val="en-US" w:eastAsia="zh-CN"/>
        </w:rPr>
        <w:t>12</w:t>
      </w:r>
      <w:r>
        <w:rPr>
          <w:rFonts w:hint="eastAsia"/>
        </w:rPr>
        <w:t>.基本支出：指为保障机构正常运转、完成日常工作任务而发生的人员支出和公用支出。</w:t>
      </w:r>
    </w:p>
    <w:p>
      <w:pPr>
        <w:bidi w:val="0"/>
        <w:ind w:firstLine="640" w:firstLineChars="200"/>
        <w:rPr>
          <w:rFonts w:hint="eastAsia"/>
        </w:rPr>
      </w:pPr>
      <w:r>
        <w:rPr>
          <w:rFonts w:hint="eastAsia"/>
          <w:lang w:val="en-US" w:eastAsia="zh-CN"/>
        </w:rPr>
        <w:t>13</w:t>
      </w:r>
      <w:r>
        <w:rPr>
          <w:rFonts w:hint="eastAsia"/>
        </w:rPr>
        <w:t>.项目支出：指在基本支出之外为完成特定行政任务和事业发展目标所发生的支出。</w:t>
      </w:r>
    </w:p>
    <w:p>
      <w:pPr>
        <w:bidi w:val="0"/>
        <w:ind w:firstLine="640" w:firstLineChars="200"/>
        <w:rPr>
          <w:rFonts w:hint="eastAsia"/>
        </w:rPr>
      </w:pPr>
      <w:r>
        <w:rPr>
          <w:rFonts w:hint="eastAsia"/>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bidi w:val="0"/>
        <w:ind w:firstLine="640" w:firstLineChars="200"/>
        <w:rPr>
          <w:rFonts w:hint="eastAsia"/>
        </w:rPr>
      </w:pPr>
      <w:r>
        <w:rPr>
          <w:rFonts w:hint="eastAsia"/>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9"/>
        <w:spacing w:line="560" w:lineRule="exact"/>
        <w:ind w:firstLine="640" w:firstLineChars="200"/>
        <w:rPr>
          <w:rFonts w:hint="eastAsia" w:hAnsi="仿宋"/>
          <w:color w:val="auto"/>
          <w:sz w:val="32"/>
          <w:szCs w:val="32"/>
        </w:rPr>
      </w:pPr>
    </w:p>
    <w:p>
      <w:pPr>
        <w:pStyle w:val="19"/>
        <w:spacing w:line="560" w:lineRule="exact"/>
        <w:ind w:firstLine="640" w:firstLineChars="200"/>
        <w:rPr>
          <w:rFonts w:hint="eastAsia" w:hAnsi="仿宋"/>
          <w:color w:val="auto"/>
          <w:sz w:val="32"/>
          <w:szCs w:val="32"/>
        </w:rPr>
      </w:pPr>
    </w:p>
    <w:p>
      <w:pPr>
        <w:pStyle w:val="19"/>
        <w:spacing w:line="560" w:lineRule="exact"/>
        <w:ind w:firstLine="640" w:firstLineChars="200"/>
        <w:rPr>
          <w:rFonts w:hint="eastAsia" w:hAnsi="仿宋"/>
          <w:color w:val="auto"/>
          <w:sz w:val="32"/>
          <w:szCs w:val="32"/>
        </w:rPr>
      </w:pPr>
    </w:p>
    <w:p>
      <w:pPr>
        <w:pStyle w:val="19"/>
        <w:spacing w:line="560" w:lineRule="exact"/>
        <w:ind w:firstLine="640" w:firstLineChars="200"/>
        <w:rPr>
          <w:rFonts w:hint="eastAsia" w:hAnsi="仿宋"/>
          <w:color w:val="auto"/>
          <w:sz w:val="32"/>
          <w:szCs w:val="32"/>
        </w:rPr>
      </w:pPr>
    </w:p>
    <w:p>
      <w:pPr>
        <w:pStyle w:val="19"/>
        <w:spacing w:line="560" w:lineRule="exact"/>
        <w:ind w:firstLine="640" w:firstLineChars="200"/>
        <w:rPr>
          <w:rFonts w:hint="eastAsia" w:hAnsi="仿宋"/>
          <w:color w:val="auto"/>
          <w:sz w:val="32"/>
          <w:szCs w:val="32"/>
        </w:rPr>
      </w:pPr>
    </w:p>
    <w:p>
      <w:pPr>
        <w:pStyle w:val="19"/>
        <w:spacing w:line="560" w:lineRule="exact"/>
        <w:ind w:firstLine="640" w:firstLineChars="200"/>
        <w:rPr>
          <w:rFonts w:hint="eastAsia" w:hAnsi="仿宋"/>
          <w:color w:val="auto"/>
          <w:sz w:val="32"/>
          <w:szCs w:val="32"/>
        </w:rPr>
      </w:pPr>
    </w:p>
    <w:p>
      <w:pPr>
        <w:pStyle w:val="19"/>
        <w:spacing w:line="560" w:lineRule="exact"/>
        <w:ind w:firstLine="640" w:firstLineChars="200"/>
        <w:rPr>
          <w:rFonts w:hint="eastAsia" w:hAnsi="仿宋"/>
          <w:color w:val="auto"/>
          <w:sz w:val="32"/>
          <w:szCs w:val="32"/>
        </w:rPr>
      </w:pPr>
    </w:p>
    <w:p>
      <w:pPr>
        <w:pStyle w:val="19"/>
        <w:spacing w:line="560" w:lineRule="exact"/>
        <w:ind w:firstLine="640" w:firstLineChars="200"/>
        <w:rPr>
          <w:rFonts w:hint="eastAsia" w:hAnsi="仿宋"/>
          <w:color w:val="auto"/>
          <w:sz w:val="32"/>
          <w:szCs w:val="32"/>
        </w:rPr>
      </w:pPr>
    </w:p>
    <w:p>
      <w:pPr>
        <w:pStyle w:val="2"/>
        <w:rPr>
          <w:rFonts w:hint="eastAsia"/>
          <w:lang w:val="zh-CN"/>
        </w:rPr>
      </w:pPr>
    </w:p>
    <w:p>
      <w:pPr>
        <w:pStyle w:val="3"/>
        <w:numPr>
          <w:ilvl w:val="0"/>
          <w:numId w:val="3"/>
        </w:numPr>
        <w:bidi w:val="0"/>
        <w:rPr>
          <w:rFonts w:hint="eastAsia"/>
          <w:lang w:val="en-US"/>
        </w:rPr>
      </w:pPr>
      <w:bookmarkStart w:id="18" w:name="_Toc8823"/>
      <w:r>
        <w:rPr>
          <w:rFonts w:hint="eastAsia"/>
          <w:lang w:val="en-US"/>
        </w:rPr>
        <w:t>附件</w:t>
      </w:r>
      <w:bookmarkEnd w:id="18"/>
    </w:p>
    <w:p>
      <w:pPr>
        <w:pStyle w:val="4"/>
        <w:bidi w:val="0"/>
        <w:rPr>
          <w:rFonts w:hint="default"/>
          <w:lang w:val="en-US" w:eastAsia="zh-CN"/>
        </w:rPr>
      </w:pPr>
      <w:bookmarkStart w:id="19" w:name="_Toc24456"/>
      <w:bookmarkStart w:id="20" w:name="_Toc23716"/>
      <w:r>
        <w:rPr>
          <w:rFonts w:hint="eastAsia"/>
          <w:lang w:val="en-US" w:eastAsia="zh-CN"/>
        </w:rPr>
        <w:t>附件</w:t>
      </w:r>
      <w:bookmarkEnd w:id="19"/>
      <w:bookmarkEnd w:id="20"/>
      <w:r>
        <w:rPr>
          <w:rFonts w:hint="eastAsia"/>
          <w:lang w:val="en-US" w:eastAsia="zh-CN"/>
        </w:rPr>
        <w:t>1</w:t>
      </w:r>
    </w:p>
    <w:p>
      <w:pPr>
        <w:widowControl/>
        <w:autoSpaceDE/>
        <w:autoSpaceDN/>
        <w:spacing w:line="578" w:lineRule="exact"/>
        <w:jc w:val="center"/>
        <w:rPr>
          <w:rFonts w:hint="eastAsia" w:ascii="宋体" w:hAnsi="宋体" w:eastAsia="宋体" w:cs="宋体"/>
          <w:b/>
          <w:bCs/>
          <w:sz w:val="32"/>
          <w:szCs w:val="32"/>
          <w:shd w:val="clear" w:color="auto" w:fill="FFFFFF"/>
        </w:rPr>
      </w:pPr>
      <w:r>
        <w:rPr>
          <w:rFonts w:hint="eastAsia" w:ascii="宋体" w:hAnsi="宋体" w:eastAsia="宋体" w:cs="宋体"/>
          <w:b/>
          <w:bCs/>
          <w:sz w:val="32"/>
          <w:szCs w:val="32"/>
          <w:shd w:val="clear" w:color="auto" w:fill="FFFFFF"/>
          <w:lang w:val="en-US" w:eastAsia="zh-CN"/>
        </w:rPr>
        <w:t>泸县总工会</w:t>
      </w:r>
      <w:r>
        <w:rPr>
          <w:rFonts w:hint="eastAsia" w:ascii="宋体" w:hAnsi="宋体" w:eastAsia="宋体" w:cs="宋体"/>
          <w:b/>
          <w:bCs/>
          <w:sz w:val="32"/>
          <w:szCs w:val="32"/>
          <w:shd w:val="clear" w:color="auto" w:fill="FFFFFF"/>
          <w:lang w:eastAsia="zh-CN"/>
        </w:rPr>
        <w:t>2022</w:t>
      </w:r>
      <w:r>
        <w:rPr>
          <w:rFonts w:hint="eastAsia" w:ascii="宋体" w:hAnsi="宋体" w:eastAsia="宋体" w:cs="宋体"/>
          <w:b/>
          <w:bCs/>
          <w:sz w:val="32"/>
          <w:szCs w:val="32"/>
          <w:shd w:val="clear" w:color="auto" w:fill="FFFFFF"/>
        </w:rPr>
        <w:t>年部门整体支出绩效报告</w:t>
      </w:r>
    </w:p>
    <w:p>
      <w:pPr>
        <w:widowControl/>
        <w:autoSpaceDE/>
        <w:autoSpaceDN/>
        <w:spacing w:line="480" w:lineRule="exact"/>
        <w:jc w:val="both"/>
        <w:rPr>
          <w:rFonts w:hint="eastAsia" w:ascii="仿宋" w:hAnsi="仿宋" w:eastAsia="仿宋" w:cs="仿宋"/>
          <w:sz w:val="32"/>
          <w:szCs w:val="32"/>
          <w:shd w:val="clear" w:color="auto" w:fill="FFFFFF"/>
        </w:rPr>
      </w:pPr>
    </w:p>
    <w:p>
      <w:pPr>
        <w:widowControl/>
        <w:autoSpaceDE/>
        <w:autoSpaceDN/>
        <w:snapToGrid w:val="0"/>
        <w:spacing w:line="480" w:lineRule="exact"/>
        <w:ind w:firstLine="640" w:firstLineChars="200"/>
        <w:jc w:val="both"/>
        <w:outlineLvl w:val="1"/>
        <w:rPr>
          <w:rFonts w:hint="eastAsia" w:ascii="黑体" w:hAnsi="黑体" w:eastAsia="黑体" w:cs="黑体"/>
          <w:color w:val="000000"/>
          <w:sz w:val="32"/>
          <w:szCs w:val="32"/>
          <w:shd w:val="clear" w:color="auto" w:fill="FFFFFF"/>
          <w:lang w:val="zh-CN"/>
        </w:rPr>
      </w:pPr>
      <w:bookmarkStart w:id="21" w:name="_Toc3980"/>
      <w:bookmarkStart w:id="22" w:name="_Toc12343"/>
      <w:r>
        <w:rPr>
          <w:rFonts w:hint="eastAsia" w:ascii="黑体" w:hAnsi="黑体" w:eastAsia="黑体" w:cs="黑体"/>
          <w:color w:val="000000"/>
          <w:sz w:val="32"/>
          <w:szCs w:val="32"/>
          <w:shd w:val="clear" w:color="auto" w:fill="FFFFFF"/>
        </w:rPr>
        <w:t>一、</w:t>
      </w:r>
      <w:r>
        <w:rPr>
          <w:rFonts w:hint="eastAsia" w:ascii="黑体" w:hAnsi="黑体" w:eastAsia="黑体" w:cs="黑体"/>
          <w:color w:val="000000"/>
          <w:sz w:val="32"/>
          <w:szCs w:val="32"/>
          <w:shd w:val="clear" w:color="auto" w:fill="FFFFFF"/>
          <w:lang w:val="zh-CN"/>
        </w:rPr>
        <w:t>部门（单位）概况</w:t>
      </w:r>
      <w:bookmarkEnd w:id="21"/>
      <w:bookmarkEnd w:id="22"/>
    </w:p>
    <w:p>
      <w:pPr>
        <w:widowControl/>
        <w:autoSpaceDE/>
        <w:autoSpaceDN/>
        <w:snapToGrid w:val="0"/>
        <w:spacing w:line="480" w:lineRule="exact"/>
        <w:ind w:firstLine="643" w:firstLineChars="200"/>
        <w:jc w:val="both"/>
        <w:rPr>
          <w:rFonts w:hint="eastAsia" w:ascii="方正楷体简体" w:hAnsi="方正楷体简体" w:eastAsia="方正楷体简体" w:cs="方正楷体简体"/>
          <w:b/>
          <w:color w:val="000000"/>
          <w:sz w:val="32"/>
          <w:szCs w:val="32"/>
          <w:shd w:val="clear" w:color="auto" w:fill="FFFFFF"/>
          <w:lang w:val="zh-CN"/>
        </w:rPr>
      </w:pPr>
      <w:r>
        <w:rPr>
          <w:rFonts w:hint="eastAsia" w:ascii="方正楷体简体" w:hAnsi="方正楷体简体" w:eastAsia="方正楷体简体" w:cs="方正楷体简体"/>
          <w:b/>
          <w:color w:val="000000"/>
          <w:sz w:val="32"/>
          <w:szCs w:val="32"/>
          <w:shd w:val="clear" w:color="auto" w:fill="FFFFFF"/>
          <w:lang w:val="zh-CN"/>
        </w:rPr>
        <w:t>（一）机构组成。</w:t>
      </w:r>
    </w:p>
    <w:p>
      <w:pPr>
        <w:autoSpaceDE/>
        <w:autoSpaceDN/>
        <w:spacing w:line="48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泸县总工会是一级预算单位，属群团组织，下属二级单位1个</w:t>
      </w:r>
      <w:r>
        <w:rPr>
          <w:rFonts w:hint="eastAsia" w:ascii="仿宋" w:hAnsi="仿宋" w:eastAsia="仿宋" w:cs="仿宋"/>
          <w:sz w:val="32"/>
          <w:szCs w:val="32"/>
          <w:lang w:eastAsia="zh-CN"/>
        </w:rPr>
        <w:t>（</w:t>
      </w:r>
      <w:r>
        <w:rPr>
          <w:rFonts w:hint="eastAsia" w:ascii="仿宋" w:hAnsi="仿宋" w:eastAsia="仿宋" w:cs="仿宋"/>
          <w:sz w:val="32"/>
          <w:szCs w:val="32"/>
        </w:rPr>
        <w:t>泸县</w:t>
      </w:r>
      <w:r>
        <w:rPr>
          <w:rFonts w:hint="eastAsia" w:ascii="仿宋" w:hAnsi="仿宋" w:eastAsia="仿宋" w:cs="仿宋"/>
          <w:sz w:val="32"/>
          <w:szCs w:val="32"/>
          <w:lang w:val="en-US" w:eastAsia="zh-CN"/>
        </w:rPr>
        <w:t>群团工作</w:t>
      </w:r>
      <w:r>
        <w:rPr>
          <w:rFonts w:hint="eastAsia" w:ascii="仿宋" w:hAnsi="仿宋" w:eastAsia="仿宋" w:cs="仿宋"/>
          <w:sz w:val="32"/>
          <w:szCs w:val="32"/>
        </w:rPr>
        <w:t>中心</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泸县群团工作</w:t>
      </w:r>
      <w:r>
        <w:rPr>
          <w:rFonts w:hint="eastAsia" w:ascii="仿宋" w:hAnsi="仿宋" w:eastAsia="仿宋" w:cs="仿宋"/>
          <w:sz w:val="32"/>
          <w:szCs w:val="32"/>
        </w:rPr>
        <w:t>中心是泸县总工会所属全额拨款</w:t>
      </w:r>
      <w:r>
        <w:rPr>
          <w:rFonts w:hint="eastAsia" w:ascii="仿宋" w:hAnsi="仿宋" w:eastAsia="仿宋" w:cs="仿宋"/>
          <w:sz w:val="32"/>
          <w:szCs w:val="32"/>
          <w:lang w:val="en-US" w:eastAsia="zh-CN"/>
        </w:rPr>
        <w:t>公益一类</w:t>
      </w:r>
      <w:r>
        <w:rPr>
          <w:rFonts w:hint="eastAsia" w:ascii="仿宋" w:hAnsi="仿宋" w:eastAsia="仿宋" w:cs="仿宋"/>
          <w:sz w:val="32"/>
          <w:szCs w:val="32"/>
        </w:rPr>
        <w:t>事业单位</w:t>
      </w:r>
      <w:r>
        <w:rPr>
          <w:rFonts w:hint="eastAsia" w:ascii="仿宋" w:hAnsi="仿宋" w:eastAsia="仿宋" w:cs="仿宋"/>
          <w:sz w:val="32"/>
          <w:szCs w:val="32"/>
          <w:lang w:eastAsia="zh-CN"/>
        </w:rPr>
        <w:t>。</w:t>
      </w:r>
    </w:p>
    <w:p>
      <w:pPr>
        <w:widowControl/>
        <w:numPr>
          <w:ilvl w:val="0"/>
          <w:numId w:val="4"/>
        </w:numPr>
        <w:autoSpaceDE/>
        <w:autoSpaceDN/>
        <w:snapToGrid w:val="0"/>
        <w:spacing w:line="480" w:lineRule="exact"/>
        <w:ind w:firstLine="643" w:firstLineChars="200"/>
        <w:jc w:val="both"/>
        <w:rPr>
          <w:rFonts w:hint="eastAsia" w:ascii="方正楷体简体" w:hAnsi="方正楷体简体" w:eastAsia="方正楷体简体" w:cs="方正楷体简体"/>
          <w:b/>
          <w:color w:val="000000"/>
          <w:sz w:val="32"/>
          <w:szCs w:val="32"/>
          <w:shd w:val="clear" w:color="auto" w:fill="FFFFFF"/>
          <w:lang w:val="zh-CN"/>
        </w:rPr>
      </w:pPr>
      <w:r>
        <w:rPr>
          <w:rFonts w:hint="eastAsia" w:ascii="方正楷体简体" w:hAnsi="方正楷体简体" w:eastAsia="方正楷体简体" w:cs="方正楷体简体"/>
          <w:b/>
          <w:color w:val="000000"/>
          <w:sz w:val="32"/>
          <w:szCs w:val="32"/>
          <w:shd w:val="clear" w:color="auto" w:fill="FFFFFF"/>
          <w:lang w:val="zh-CN"/>
        </w:rPr>
        <w:t>机构职能。</w:t>
      </w:r>
    </w:p>
    <w:p>
      <w:pPr>
        <w:autoSpaceDE/>
        <w:autoSpaceDN/>
        <w:snapToGrid w:val="0"/>
        <w:spacing w:line="480" w:lineRule="exact"/>
        <w:ind w:firstLine="640" w:firstLineChars="200"/>
        <w:jc w:val="both"/>
        <w:rPr>
          <w:rFonts w:hint="eastAsia" w:ascii="仿宋" w:hAnsi="仿宋" w:cs="仿宋"/>
          <w:sz w:val="32"/>
          <w:szCs w:val="32"/>
          <w:lang w:val="en-US" w:eastAsia="zh-CN"/>
        </w:rPr>
      </w:pPr>
      <w:r>
        <w:rPr>
          <w:rFonts w:hint="eastAsia" w:ascii="仿宋" w:hAnsi="仿宋" w:eastAsia="仿宋" w:cs="仿宋"/>
          <w:sz w:val="32"/>
          <w:szCs w:val="32"/>
          <w:lang w:val="zh-CN"/>
        </w:rPr>
        <w:t>中国工会是中国共产党领导的职工自愿结合的</w:t>
      </w:r>
      <w:r>
        <w:rPr>
          <w:rFonts w:hint="eastAsia" w:ascii="仿宋" w:hAnsi="仿宋" w:cs="仿宋"/>
          <w:sz w:val="32"/>
          <w:szCs w:val="32"/>
          <w:lang w:val="zh-CN"/>
        </w:rPr>
        <w:t>工人阶级</w:t>
      </w:r>
      <w:r>
        <w:rPr>
          <w:rFonts w:hint="eastAsia" w:ascii="仿宋" w:hAnsi="仿宋" w:eastAsia="仿宋" w:cs="仿宋"/>
          <w:sz w:val="32"/>
          <w:szCs w:val="32"/>
          <w:lang w:val="zh-CN"/>
        </w:rPr>
        <w:t>的群众组织，是党联系职工群众的桥梁纽带，是国家政权的重要社会支柱，是会员和职工利益的代表，维护职工合法权益和民主权利，动员和组织职工参加建设和改革，代表和组织职工参与国家和社会事务管理，参与企业、事业、机关的民主管理，建设“四有”职工队伍。泸县总工会是机关工会、机关工委、乡镇工委、基层工会和县产工会的领导机关。泸县总工会由中共泸县县委和市总工会领导。</w:t>
      </w:r>
      <w:r>
        <w:rPr>
          <w:rFonts w:hint="eastAsia" w:ascii="仿宋" w:hAnsi="仿宋" w:cs="仿宋"/>
          <w:sz w:val="32"/>
          <w:szCs w:val="32"/>
          <w:lang w:val="en-US" w:eastAsia="zh-CN"/>
        </w:rPr>
        <w:t xml:space="preserve">       </w:t>
      </w:r>
    </w:p>
    <w:p>
      <w:pPr>
        <w:autoSpaceDE/>
        <w:autoSpaceDN/>
        <w:snapToGrid w:val="0"/>
        <w:spacing w:line="480" w:lineRule="exact"/>
        <w:ind w:firstLine="643" w:firstLineChars="200"/>
        <w:jc w:val="both"/>
        <w:rPr>
          <w:rFonts w:hint="eastAsia" w:ascii="仿宋" w:hAnsi="仿宋" w:eastAsia="仿宋" w:cs="仿宋"/>
          <w:b/>
          <w:color w:val="000000"/>
          <w:sz w:val="32"/>
          <w:szCs w:val="32"/>
          <w:shd w:val="clear" w:color="auto" w:fill="FFFFFF"/>
          <w:lang w:val="zh-CN"/>
        </w:rPr>
      </w:pPr>
      <w:r>
        <w:rPr>
          <w:rFonts w:hint="eastAsia" w:ascii="方正楷体简体" w:hAnsi="方正楷体简体" w:eastAsia="方正楷体简体" w:cs="方正楷体简体"/>
          <w:b/>
          <w:color w:val="000000"/>
          <w:sz w:val="32"/>
          <w:szCs w:val="32"/>
          <w:shd w:val="clear" w:color="auto" w:fill="FFFFFF"/>
          <w:lang w:val="zh-CN"/>
        </w:rPr>
        <w:t>（三）人员概况</w:t>
      </w:r>
      <w:r>
        <w:rPr>
          <w:rFonts w:hint="eastAsia" w:ascii="仿宋" w:hAnsi="仿宋" w:eastAsia="仿宋" w:cs="仿宋"/>
          <w:b/>
          <w:color w:val="000000"/>
          <w:sz w:val="32"/>
          <w:szCs w:val="32"/>
          <w:shd w:val="clear" w:color="auto" w:fill="FFFFFF"/>
          <w:lang w:val="zh-CN"/>
        </w:rPr>
        <w:t>。</w:t>
      </w:r>
    </w:p>
    <w:p>
      <w:pPr>
        <w:autoSpaceDE/>
        <w:autoSpaceDN/>
        <w:spacing w:line="4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泸县总工会（含泸县</w:t>
      </w:r>
      <w:r>
        <w:rPr>
          <w:rFonts w:hint="eastAsia" w:ascii="仿宋" w:hAnsi="仿宋" w:eastAsia="仿宋" w:cs="仿宋"/>
          <w:sz w:val="32"/>
          <w:szCs w:val="32"/>
          <w:lang w:val="en-US" w:eastAsia="zh-CN"/>
        </w:rPr>
        <w:t>群团工作</w:t>
      </w:r>
      <w:r>
        <w:rPr>
          <w:rFonts w:hint="eastAsia" w:ascii="仿宋" w:hAnsi="仿宋" w:eastAsia="仿宋" w:cs="仿宋"/>
          <w:sz w:val="32"/>
          <w:szCs w:val="32"/>
        </w:rPr>
        <w:t>中心）核定总编制</w:t>
      </w:r>
      <w:r>
        <w:rPr>
          <w:rFonts w:hint="eastAsia" w:ascii="仿宋" w:hAnsi="仿宋" w:cs="仿宋"/>
          <w:sz w:val="32"/>
          <w:szCs w:val="32"/>
          <w:lang w:val="en-US" w:eastAsia="zh-CN"/>
        </w:rPr>
        <w:t>19</w:t>
      </w:r>
      <w:r>
        <w:rPr>
          <w:rFonts w:hint="eastAsia" w:ascii="仿宋" w:hAnsi="仿宋" w:eastAsia="仿宋" w:cs="仿宋"/>
          <w:sz w:val="32"/>
          <w:szCs w:val="32"/>
        </w:rPr>
        <w:t>名，其中：行政编制</w:t>
      </w:r>
      <w:r>
        <w:rPr>
          <w:rFonts w:hint="eastAsia" w:ascii="仿宋" w:hAnsi="仿宋" w:cs="仿宋"/>
          <w:sz w:val="32"/>
          <w:szCs w:val="32"/>
          <w:lang w:val="en-US" w:eastAsia="zh-CN"/>
        </w:rPr>
        <w:t>7</w:t>
      </w:r>
      <w:r>
        <w:rPr>
          <w:rFonts w:hint="eastAsia" w:ascii="仿宋" w:hAnsi="仿宋" w:eastAsia="仿宋" w:cs="仿宋"/>
          <w:sz w:val="32"/>
          <w:szCs w:val="32"/>
        </w:rPr>
        <w:t>名，事业编制</w:t>
      </w:r>
      <w:r>
        <w:rPr>
          <w:rFonts w:hint="eastAsia" w:ascii="仿宋" w:hAnsi="仿宋" w:cs="仿宋"/>
          <w:sz w:val="32"/>
          <w:szCs w:val="32"/>
          <w:lang w:val="en-US" w:eastAsia="zh-CN"/>
        </w:rPr>
        <w:t>12</w:t>
      </w:r>
      <w:r>
        <w:rPr>
          <w:rFonts w:hint="eastAsia" w:ascii="仿宋" w:hAnsi="仿宋" w:eastAsia="仿宋" w:cs="仿宋"/>
          <w:sz w:val="32"/>
          <w:szCs w:val="32"/>
        </w:rPr>
        <w:t>名。在职人员总数</w:t>
      </w:r>
      <w:r>
        <w:rPr>
          <w:rFonts w:hint="eastAsia" w:ascii="仿宋" w:hAnsi="仿宋" w:cs="仿宋"/>
          <w:sz w:val="32"/>
          <w:szCs w:val="32"/>
          <w:lang w:val="en-US" w:eastAsia="zh-CN"/>
        </w:rPr>
        <w:t>19</w:t>
      </w:r>
      <w:r>
        <w:rPr>
          <w:rFonts w:hint="eastAsia" w:ascii="仿宋" w:hAnsi="仿宋" w:eastAsia="仿宋" w:cs="仿宋"/>
          <w:sz w:val="32"/>
          <w:szCs w:val="32"/>
        </w:rPr>
        <w:t>人，其中：行政人员</w:t>
      </w:r>
      <w:r>
        <w:rPr>
          <w:rFonts w:hint="eastAsia" w:ascii="仿宋" w:hAnsi="仿宋" w:cs="仿宋"/>
          <w:sz w:val="32"/>
          <w:szCs w:val="32"/>
          <w:lang w:val="en-US" w:eastAsia="zh-CN"/>
        </w:rPr>
        <w:t>7</w:t>
      </w:r>
      <w:r>
        <w:rPr>
          <w:rFonts w:hint="eastAsia" w:ascii="仿宋" w:hAnsi="仿宋" w:eastAsia="仿宋" w:cs="仿宋"/>
          <w:sz w:val="32"/>
          <w:szCs w:val="32"/>
        </w:rPr>
        <w:t>人，事业人员</w:t>
      </w:r>
      <w:r>
        <w:rPr>
          <w:rFonts w:hint="eastAsia" w:ascii="仿宋" w:hAnsi="仿宋" w:cs="仿宋"/>
          <w:sz w:val="32"/>
          <w:szCs w:val="32"/>
          <w:lang w:val="en-US" w:eastAsia="zh-CN"/>
        </w:rPr>
        <w:t>12</w:t>
      </w:r>
      <w:r>
        <w:rPr>
          <w:rFonts w:hint="eastAsia" w:ascii="仿宋" w:hAnsi="仿宋" w:eastAsia="仿宋" w:cs="仿宋"/>
          <w:sz w:val="32"/>
          <w:szCs w:val="32"/>
        </w:rPr>
        <w:t>人</w:t>
      </w:r>
      <w:r>
        <w:rPr>
          <w:rFonts w:hint="eastAsia" w:ascii="仿宋" w:hAnsi="仿宋" w:cs="仿宋"/>
          <w:sz w:val="32"/>
          <w:szCs w:val="32"/>
          <w:lang w:eastAsia="zh-CN"/>
        </w:rPr>
        <w:t>；</w:t>
      </w:r>
      <w:r>
        <w:rPr>
          <w:rFonts w:hint="eastAsia" w:ascii="仿宋" w:hAnsi="仿宋" w:eastAsia="仿宋" w:cs="仿宋"/>
          <w:sz w:val="32"/>
          <w:szCs w:val="32"/>
        </w:rPr>
        <w:t>退休人员</w:t>
      </w:r>
      <w:r>
        <w:rPr>
          <w:rFonts w:hint="eastAsia" w:ascii="仿宋" w:hAnsi="仿宋" w:eastAsia="仿宋" w:cs="仿宋"/>
          <w:sz w:val="32"/>
          <w:szCs w:val="32"/>
          <w:lang w:val="en-US" w:eastAsia="zh-CN"/>
        </w:rPr>
        <w:t>5</w:t>
      </w:r>
      <w:r>
        <w:rPr>
          <w:rFonts w:hint="eastAsia" w:ascii="仿宋" w:hAnsi="仿宋" w:eastAsia="仿宋" w:cs="仿宋"/>
          <w:sz w:val="32"/>
          <w:szCs w:val="32"/>
        </w:rPr>
        <w:t>人。</w:t>
      </w:r>
    </w:p>
    <w:p>
      <w:pPr>
        <w:widowControl/>
        <w:autoSpaceDE/>
        <w:autoSpaceDN/>
        <w:snapToGrid w:val="0"/>
        <w:spacing w:line="480" w:lineRule="exact"/>
        <w:ind w:firstLine="640" w:firstLineChars="200"/>
        <w:jc w:val="both"/>
        <w:outlineLvl w:val="1"/>
        <w:rPr>
          <w:rFonts w:hint="eastAsia" w:ascii="黑体" w:hAnsi="黑体" w:eastAsia="黑体" w:cs="黑体"/>
          <w:color w:val="000000"/>
          <w:sz w:val="32"/>
          <w:szCs w:val="32"/>
          <w:shd w:val="clear" w:color="auto" w:fill="FFFFFF"/>
        </w:rPr>
      </w:pPr>
      <w:bookmarkStart w:id="23" w:name="_Toc11320"/>
      <w:bookmarkStart w:id="24" w:name="_Toc9353"/>
      <w:r>
        <w:rPr>
          <w:rFonts w:hint="eastAsia" w:ascii="黑体" w:hAnsi="黑体" w:eastAsia="黑体" w:cs="黑体"/>
          <w:color w:val="000000"/>
          <w:sz w:val="32"/>
          <w:szCs w:val="32"/>
          <w:shd w:val="clear" w:color="auto" w:fill="FFFFFF"/>
        </w:rPr>
        <w:t>二、部门财政资金收支情况</w:t>
      </w:r>
      <w:bookmarkEnd w:id="23"/>
      <w:bookmarkEnd w:id="24"/>
    </w:p>
    <w:p>
      <w:pPr>
        <w:widowControl/>
        <w:autoSpaceDE/>
        <w:autoSpaceDN/>
        <w:snapToGrid w:val="0"/>
        <w:spacing w:line="480" w:lineRule="exact"/>
        <w:ind w:firstLine="640" w:firstLineChars="200"/>
        <w:jc w:val="both"/>
        <w:rPr>
          <w:rFonts w:hint="eastAsia" w:ascii="仿宋" w:hAnsi="仿宋" w:eastAsia="仿宋" w:cs="仿宋"/>
          <w:b/>
          <w:color w:val="000000"/>
          <w:sz w:val="24"/>
          <w:szCs w:val="32"/>
          <w:shd w:val="clear" w:color="auto" w:fill="FFFFFF"/>
          <w:lang w:val="zh-CN"/>
        </w:rPr>
      </w:pPr>
      <w:r>
        <w:rPr>
          <w:rFonts w:hint="eastAsia" w:ascii="仿宋" w:hAnsi="仿宋" w:eastAsia="仿宋" w:cs="仿宋"/>
          <w:color w:val="000000"/>
          <w:sz w:val="32"/>
          <w:szCs w:val="32"/>
          <w:shd w:val="clear" w:color="auto" w:fill="FFFFFF"/>
          <w:lang w:val="zh-CN"/>
        </w:rPr>
        <w:t>2022年初预算严格按照相关文件进行合理预算总计为</w:t>
      </w:r>
      <w:r>
        <w:rPr>
          <w:rFonts w:hint="eastAsia" w:ascii="仿宋" w:hAnsi="仿宋" w:eastAsia="仿宋" w:cs="仿宋"/>
          <w:color w:val="000000"/>
          <w:sz w:val="32"/>
          <w:szCs w:val="32"/>
          <w:shd w:val="clear" w:color="auto" w:fill="FFFFFF"/>
          <w:lang w:val="en-US" w:eastAsia="zh-CN"/>
        </w:rPr>
        <w:t>224.5</w:t>
      </w:r>
      <w:r>
        <w:rPr>
          <w:rFonts w:hint="eastAsia" w:ascii="仿宋" w:hAnsi="仿宋" w:eastAsia="仿宋" w:cs="仿宋"/>
          <w:color w:val="000000"/>
          <w:sz w:val="32"/>
          <w:szCs w:val="32"/>
          <w:shd w:val="clear" w:color="auto" w:fill="FFFFFF"/>
          <w:lang w:val="zh-CN"/>
        </w:rPr>
        <w:t>万元，主要分为基本支出</w:t>
      </w:r>
      <w:r>
        <w:rPr>
          <w:rFonts w:hint="eastAsia" w:ascii="仿宋" w:hAnsi="仿宋" w:eastAsia="仿宋" w:cs="仿宋"/>
          <w:color w:val="000000"/>
          <w:sz w:val="32"/>
          <w:szCs w:val="32"/>
          <w:shd w:val="clear" w:color="auto" w:fill="FFFFFF"/>
          <w:lang w:val="en-US" w:eastAsia="zh-CN"/>
        </w:rPr>
        <w:t>207</w:t>
      </w:r>
      <w:r>
        <w:rPr>
          <w:rFonts w:hint="eastAsia" w:ascii="仿宋" w:hAnsi="仿宋" w:eastAsia="仿宋" w:cs="仿宋"/>
          <w:color w:val="000000"/>
          <w:sz w:val="32"/>
          <w:szCs w:val="32"/>
          <w:shd w:val="clear" w:color="auto" w:fill="FFFFFF"/>
          <w:lang w:val="zh-CN"/>
        </w:rPr>
        <w:t>万元（包括人员经费、日常公用经费）和项目支出</w:t>
      </w:r>
      <w:r>
        <w:rPr>
          <w:rFonts w:hint="eastAsia" w:ascii="仿宋" w:hAnsi="仿宋" w:eastAsia="仿宋" w:cs="仿宋"/>
          <w:color w:val="000000"/>
          <w:sz w:val="32"/>
          <w:szCs w:val="32"/>
          <w:shd w:val="clear" w:color="auto" w:fill="FFFFFF"/>
          <w:lang w:val="en-US" w:eastAsia="zh-CN"/>
        </w:rPr>
        <w:t>17.5</w:t>
      </w:r>
      <w:r>
        <w:rPr>
          <w:rFonts w:hint="eastAsia" w:ascii="仿宋" w:hAnsi="仿宋" w:eastAsia="仿宋" w:cs="仿宋"/>
          <w:color w:val="000000"/>
          <w:sz w:val="32"/>
          <w:szCs w:val="32"/>
          <w:shd w:val="clear" w:color="auto" w:fill="FFFFFF"/>
          <w:lang w:val="zh-CN"/>
        </w:rPr>
        <w:t>万元两类；2022年年底决算财政拨款收入</w:t>
      </w:r>
      <w:r>
        <w:rPr>
          <w:rFonts w:hint="eastAsia" w:ascii="仿宋" w:hAnsi="仿宋" w:eastAsia="仿宋" w:cs="仿宋"/>
          <w:color w:val="000000"/>
          <w:sz w:val="32"/>
          <w:szCs w:val="32"/>
          <w:shd w:val="clear" w:color="auto" w:fill="FFFFFF"/>
          <w:lang w:val="en-US" w:eastAsia="zh-CN"/>
        </w:rPr>
        <w:t>447.74</w:t>
      </w:r>
      <w:r>
        <w:rPr>
          <w:rFonts w:hint="eastAsia" w:ascii="仿宋" w:hAnsi="仿宋" w:eastAsia="仿宋" w:cs="仿宋"/>
          <w:color w:val="000000"/>
          <w:sz w:val="32"/>
          <w:szCs w:val="32"/>
          <w:shd w:val="clear" w:color="auto" w:fill="FFFFFF"/>
          <w:lang w:val="zh-CN"/>
        </w:rPr>
        <w:t>万元，2022年全年支出</w:t>
      </w:r>
      <w:r>
        <w:rPr>
          <w:rFonts w:hint="eastAsia" w:ascii="仿宋" w:hAnsi="仿宋" w:eastAsia="仿宋" w:cs="仿宋"/>
          <w:color w:val="000000"/>
          <w:sz w:val="32"/>
          <w:szCs w:val="32"/>
          <w:shd w:val="clear" w:color="auto" w:fill="FFFFFF"/>
          <w:lang w:val="en-US" w:eastAsia="zh-CN"/>
        </w:rPr>
        <w:t>447.74</w:t>
      </w:r>
      <w:r>
        <w:rPr>
          <w:rFonts w:hint="eastAsia" w:ascii="仿宋" w:hAnsi="仿宋" w:eastAsia="仿宋" w:cs="仿宋"/>
          <w:color w:val="000000"/>
          <w:sz w:val="32"/>
          <w:szCs w:val="32"/>
          <w:shd w:val="clear" w:color="auto" w:fill="FFFFFF"/>
          <w:lang w:val="zh-CN"/>
        </w:rPr>
        <w:t>万元，其中：基本支出</w:t>
      </w:r>
      <w:r>
        <w:rPr>
          <w:rFonts w:hint="eastAsia" w:ascii="仿宋" w:hAnsi="仿宋" w:eastAsia="仿宋" w:cs="仿宋"/>
          <w:color w:val="000000"/>
          <w:sz w:val="32"/>
          <w:szCs w:val="32"/>
          <w:shd w:val="clear" w:color="auto" w:fill="FFFFFF"/>
          <w:lang w:val="en-US" w:eastAsia="zh-CN"/>
        </w:rPr>
        <w:t>364.81</w:t>
      </w:r>
      <w:r>
        <w:rPr>
          <w:rFonts w:hint="eastAsia" w:ascii="仿宋" w:hAnsi="仿宋" w:eastAsia="仿宋" w:cs="仿宋"/>
          <w:color w:val="000000"/>
          <w:sz w:val="32"/>
          <w:szCs w:val="32"/>
          <w:shd w:val="clear" w:color="auto" w:fill="FFFFFF"/>
          <w:lang w:val="zh-CN"/>
        </w:rPr>
        <w:t>万元（人员经费支出</w:t>
      </w:r>
      <w:r>
        <w:rPr>
          <w:rFonts w:hint="eastAsia" w:ascii="仿宋" w:hAnsi="仿宋" w:eastAsia="仿宋" w:cs="仿宋"/>
          <w:sz w:val="32"/>
          <w:szCs w:val="32"/>
          <w:lang w:val="en-US" w:eastAsia="zh-CN"/>
        </w:rPr>
        <w:t>326.73</w:t>
      </w:r>
      <w:r>
        <w:rPr>
          <w:rFonts w:hint="eastAsia" w:ascii="仿宋" w:hAnsi="仿宋" w:eastAsia="仿宋" w:cs="仿宋"/>
          <w:color w:val="000000"/>
          <w:sz w:val="32"/>
          <w:szCs w:val="32"/>
          <w:shd w:val="clear" w:color="auto" w:fill="FFFFFF"/>
          <w:lang w:val="zh-CN"/>
        </w:rPr>
        <w:t>万元，日常公用支出</w:t>
      </w:r>
      <w:r>
        <w:rPr>
          <w:rFonts w:hint="eastAsia" w:ascii="仿宋" w:hAnsi="仿宋" w:eastAsia="仿宋" w:cs="仿宋"/>
          <w:sz w:val="32"/>
          <w:szCs w:val="32"/>
          <w:lang w:val="en-US" w:eastAsia="zh-CN"/>
        </w:rPr>
        <w:t>38.08</w:t>
      </w:r>
      <w:r>
        <w:rPr>
          <w:rFonts w:hint="eastAsia" w:ascii="仿宋" w:hAnsi="仿宋" w:eastAsia="仿宋" w:cs="仿宋"/>
          <w:color w:val="000000"/>
          <w:sz w:val="32"/>
          <w:szCs w:val="32"/>
          <w:shd w:val="clear" w:color="auto" w:fill="FFFFFF"/>
          <w:lang w:val="zh-CN"/>
        </w:rPr>
        <w:t>万元），项目支出</w:t>
      </w:r>
      <w:r>
        <w:rPr>
          <w:rFonts w:hint="eastAsia" w:ascii="仿宋" w:hAnsi="仿宋" w:eastAsia="仿宋" w:cs="仿宋"/>
          <w:color w:val="000000"/>
          <w:sz w:val="32"/>
          <w:szCs w:val="32"/>
          <w:shd w:val="clear" w:color="auto" w:fill="FFFFFF"/>
          <w:lang w:val="en-US" w:eastAsia="zh-CN"/>
        </w:rPr>
        <w:t>82.93</w:t>
      </w:r>
      <w:r>
        <w:rPr>
          <w:rFonts w:hint="eastAsia" w:ascii="仿宋" w:hAnsi="仿宋" w:eastAsia="仿宋" w:cs="仿宋"/>
          <w:color w:val="000000"/>
          <w:sz w:val="32"/>
          <w:szCs w:val="32"/>
          <w:shd w:val="clear" w:color="auto" w:fill="FFFFFF"/>
          <w:lang w:val="zh-CN"/>
        </w:rPr>
        <w:t>万元，2022年年终</w:t>
      </w:r>
      <w:r>
        <w:rPr>
          <w:rFonts w:hint="eastAsia" w:ascii="仿宋" w:hAnsi="仿宋" w:eastAsia="仿宋" w:cs="仿宋"/>
          <w:color w:val="000000"/>
          <w:sz w:val="32"/>
          <w:szCs w:val="32"/>
          <w:shd w:val="clear" w:color="auto" w:fill="FFFFFF"/>
          <w:lang w:val="en-US" w:eastAsia="zh-CN"/>
        </w:rPr>
        <w:t>结转结余资金10.89万元</w:t>
      </w:r>
      <w:r>
        <w:rPr>
          <w:rFonts w:hint="eastAsia" w:ascii="仿宋" w:hAnsi="仿宋" w:eastAsia="仿宋" w:cs="仿宋"/>
          <w:color w:val="000000"/>
          <w:sz w:val="32"/>
          <w:szCs w:val="32"/>
          <w:shd w:val="clear" w:color="auto" w:fill="FFFFFF"/>
          <w:lang w:val="zh-CN"/>
        </w:rPr>
        <w:t>。</w:t>
      </w:r>
    </w:p>
    <w:p>
      <w:pPr>
        <w:widowControl/>
        <w:numPr>
          <w:ilvl w:val="0"/>
          <w:numId w:val="5"/>
        </w:numPr>
        <w:autoSpaceDE/>
        <w:autoSpaceDN/>
        <w:snapToGrid w:val="0"/>
        <w:spacing w:line="578" w:lineRule="exact"/>
        <w:jc w:val="both"/>
        <w:rPr>
          <w:rFonts w:hint="eastAsia" w:ascii="仿宋" w:hAnsi="仿宋" w:eastAsia="仿宋" w:cs="仿宋"/>
          <w:b/>
          <w:color w:val="000000"/>
          <w:sz w:val="24"/>
          <w:szCs w:val="32"/>
          <w:shd w:val="clear" w:color="auto" w:fill="FFFFFF"/>
          <w:lang w:val="zh-CN"/>
        </w:rPr>
      </w:pPr>
      <w:r>
        <w:rPr>
          <w:rFonts w:hint="eastAsia" w:ascii="方正楷体简体" w:hAnsi="方正楷体简体" w:eastAsia="方正楷体简体" w:cs="方正楷体简体"/>
          <w:b/>
          <w:color w:val="000000"/>
          <w:sz w:val="32"/>
          <w:szCs w:val="32"/>
          <w:shd w:val="clear" w:color="auto" w:fill="FFFFFF"/>
          <w:lang w:val="zh-CN"/>
        </w:rPr>
        <w:t>部门财政资金支出情况。</w:t>
      </w:r>
      <w:r>
        <w:rPr>
          <w:rFonts w:hint="eastAsia" w:ascii="仿宋" w:hAnsi="仿宋" w:eastAsia="仿宋" w:cs="仿宋"/>
          <w:b/>
          <w:color w:val="000000"/>
          <w:sz w:val="24"/>
          <w:szCs w:val="32"/>
          <w:shd w:val="clear" w:color="auto" w:fill="FFFFFF"/>
          <w:lang w:val="zh-CN"/>
        </w:rPr>
        <w:t>（</w:t>
      </w:r>
      <w:r>
        <w:rPr>
          <w:rStyle w:val="20"/>
          <w:rFonts w:hint="eastAsia" w:ascii="仿宋" w:hAnsi="仿宋" w:eastAsia="仿宋" w:cs="仿宋"/>
          <w:sz w:val="32"/>
          <w:szCs w:val="32"/>
          <w:lang w:val="zh-CN"/>
        </w:rPr>
        <w:t>见</w:t>
      </w:r>
      <w:r>
        <w:rPr>
          <w:rStyle w:val="20"/>
          <w:rFonts w:hint="eastAsia" w:ascii="仿宋" w:hAnsi="仿宋" w:eastAsia="仿宋" w:cs="仿宋"/>
          <w:sz w:val="32"/>
          <w:szCs w:val="32"/>
          <w:lang w:eastAsia="zh-CN"/>
        </w:rPr>
        <w:t>2022</w:t>
      </w:r>
      <w:r>
        <w:rPr>
          <w:rStyle w:val="20"/>
          <w:rFonts w:hint="eastAsia" w:ascii="仿宋" w:hAnsi="仿宋" w:eastAsia="仿宋" w:cs="仿宋"/>
          <w:sz w:val="32"/>
          <w:szCs w:val="32"/>
        </w:rPr>
        <w:t>年财政资金支出明细表）</w:t>
      </w:r>
    </w:p>
    <w:tbl>
      <w:tblPr>
        <w:tblStyle w:val="18"/>
        <w:tblW w:w="967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96"/>
        <w:gridCol w:w="240"/>
        <w:gridCol w:w="240"/>
        <w:gridCol w:w="3742"/>
        <w:gridCol w:w="1367"/>
        <w:gridCol w:w="1344"/>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674" w:type="dxa"/>
            <w:gridSpan w:val="7"/>
            <w:tcBorders>
              <w:top w:val="nil"/>
              <w:left w:val="nil"/>
              <w:bottom w:val="nil"/>
              <w:right w:val="nil"/>
              <w:tl2br w:val="nil"/>
              <w:tr2bl w:val="nil"/>
            </w:tcBorders>
            <w:vAlign w:val="bottom"/>
          </w:tcPr>
          <w:p>
            <w:pPr>
              <w:widowControl/>
              <w:spacing w:line="240" w:lineRule="auto"/>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1296" w:type="dxa"/>
            <w:tcBorders>
              <w:top w:val="nil"/>
              <w:left w:val="nil"/>
              <w:bottom w:val="nil"/>
              <w:right w:val="nil"/>
              <w:tl2br w:val="nil"/>
              <w:tr2bl w:val="nil"/>
            </w:tcBorders>
            <w:vAlign w:val="bottom"/>
          </w:tcPr>
          <w:p>
            <w:pPr>
              <w:spacing w:line="240" w:lineRule="auto"/>
              <w:rPr>
                <w:rFonts w:hint="eastAsia" w:ascii="仿宋" w:hAnsi="仿宋" w:eastAsia="仿宋" w:cs="仿宋"/>
                <w:color w:val="000000"/>
                <w:sz w:val="21"/>
                <w:szCs w:val="21"/>
              </w:rPr>
            </w:pPr>
          </w:p>
        </w:tc>
        <w:tc>
          <w:tcPr>
            <w:tcW w:w="240" w:type="dxa"/>
            <w:tcBorders>
              <w:top w:val="nil"/>
              <w:left w:val="nil"/>
              <w:bottom w:val="nil"/>
              <w:right w:val="nil"/>
              <w:tl2br w:val="nil"/>
              <w:tr2bl w:val="nil"/>
            </w:tcBorders>
            <w:vAlign w:val="bottom"/>
          </w:tcPr>
          <w:p>
            <w:pPr>
              <w:spacing w:line="240" w:lineRule="auto"/>
              <w:rPr>
                <w:rFonts w:hint="eastAsia" w:ascii="仿宋" w:hAnsi="仿宋" w:eastAsia="仿宋" w:cs="仿宋"/>
                <w:color w:val="000000"/>
                <w:sz w:val="21"/>
                <w:szCs w:val="21"/>
              </w:rPr>
            </w:pPr>
          </w:p>
        </w:tc>
        <w:tc>
          <w:tcPr>
            <w:tcW w:w="240" w:type="dxa"/>
            <w:tcBorders>
              <w:top w:val="nil"/>
              <w:left w:val="nil"/>
              <w:bottom w:val="nil"/>
              <w:right w:val="nil"/>
              <w:tl2br w:val="nil"/>
              <w:tr2bl w:val="nil"/>
            </w:tcBorders>
            <w:vAlign w:val="bottom"/>
          </w:tcPr>
          <w:p>
            <w:pPr>
              <w:spacing w:line="240" w:lineRule="auto"/>
              <w:rPr>
                <w:rFonts w:hint="eastAsia" w:ascii="仿宋" w:hAnsi="仿宋" w:eastAsia="仿宋" w:cs="仿宋"/>
                <w:color w:val="000000"/>
                <w:sz w:val="21"/>
                <w:szCs w:val="21"/>
              </w:rPr>
            </w:pPr>
          </w:p>
        </w:tc>
        <w:tc>
          <w:tcPr>
            <w:tcW w:w="3742" w:type="dxa"/>
            <w:tcBorders>
              <w:top w:val="nil"/>
              <w:left w:val="nil"/>
              <w:bottom w:val="nil"/>
              <w:right w:val="nil"/>
              <w:tl2br w:val="nil"/>
              <w:tr2bl w:val="nil"/>
            </w:tcBorders>
            <w:vAlign w:val="bottom"/>
          </w:tcPr>
          <w:p>
            <w:pPr>
              <w:spacing w:line="240" w:lineRule="auto"/>
              <w:rPr>
                <w:rFonts w:hint="eastAsia" w:ascii="仿宋" w:hAnsi="仿宋" w:eastAsia="仿宋" w:cs="仿宋"/>
                <w:color w:val="000000"/>
                <w:sz w:val="21"/>
                <w:szCs w:val="21"/>
              </w:rPr>
            </w:pPr>
          </w:p>
        </w:tc>
        <w:tc>
          <w:tcPr>
            <w:tcW w:w="1367" w:type="dxa"/>
            <w:tcBorders>
              <w:top w:val="nil"/>
              <w:left w:val="nil"/>
              <w:bottom w:val="nil"/>
              <w:right w:val="nil"/>
              <w:tl2br w:val="nil"/>
              <w:tr2bl w:val="nil"/>
            </w:tcBorders>
            <w:vAlign w:val="bottom"/>
          </w:tcPr>
          <w:p>
            <w:pPr>
              <w:spacing w:line="240" w:lineRule="auto"/>
              <w:rPr>
                <w:rFonts w:hint="eastAsia" w:ascii="仿宋" w:hAnsi="仿宋" w:eastAsia="仿宋" w:cs="仿宋"/>
                <w:color w:val="000000"/>
                <w:sz w:val="21"/>
                <w:szCs w:val="21"/>
              </w:rPr>
            </w:pPr>
          </w:p>
        </w:tc>
        <w:tc>
          <w:tcPr>
            <w:tcW w:w="1344" w:type="dxa"/>
            <w:tcBorders>
              <w:top w:val="nil"/>
              <w:left w:val="nil"/>
              <w:bottom w:val="nil"/>
              <w:right w:val="nil"/>
              <w:tl2br w:val="nil"/>
              <w:tr2bl w:val="nil"/>
            </w:tcBorders>
            <w:vAlign w:val="bottom"/>
          </w:tcPr>
          <w:p>
            <w:pPr>
              <w:spacing w:line="240" w:lineRule="auto"/>
              <w:rPr>
                <w:rFonts w:hint="eastAsia" w:ascii="仿宋" w:hAnsi="仿宋" w:eastAsia="仿宋" w:cs="仿宋"/>
                <w:color w:val="000000"/>
                <w:sz w:val="21"/>
                <w:szCs w:val="21"/>
              </w:rPr>
            </w:pPr>
          </w:p>
        </w:tc>
        <w:tc>
          <w:tcPr>
            <w:tcW w:w="1445" w:type="dxa"/>
            <w:tcBorders>
              <w:top w:val="nil"/>
              <w:left w:val="nil"/>
              <w:bottom w:val="nil"/>
              <w:right w:val="nil"/>
              <w:tl2br w:val="nil"/>
              <w:tr2bl w:val="nil"/>
            </w:tcBorders>
            <w:vAlign w:val="bottom"/>
          </w:tcPr>
          <w:p>
            <w:pPr>
              <w:spacing w:line="240" w:lineRule="auto"/>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296" w:type="dxa"/>
            <w:tcBorders>
              <w:top w:val="nil"/>
              <w:left w:val="nil"/>
              <w:bottom w:val="nil"/>
              <w:right w:val="nil"/>
              <w:tl2br w:val="nil"/>
              <w:tr2bl w:val="nil"/>
            </w:tcBorders>
            <w:vAlign w:val="bottom"/>
          </w:tcPr>
          <w:p>
            <w:pPr>
              <w:widowControl/>
              <w:spacing w:line="240" w:lineRule="auto"/>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编制单位：泸县总工会</w:t>
            </w:r>
          </w:p>
        </w:tc>
        <w:tc>
          <w:tcPr>
            <w:tcW w:w="240" w:type="dxa"/>
            <w:tcBorders>
              <w:top w:val="nil"/>
              <w:left w:val="nil"/>
              <w:bottom w:val="nil"/>
              <w:right w:val="nil"/>
              <w:tl2br w:val="nil"/>
              <w:tr2bl w:val="nil"/>
            </w:tcBorders>
            <w:vAlign w:val="bottom"/>
          </w:tcPr>
          <w:p>
            <w:pPr>
              <w:spacing w:line="240" w:lineRule="auto"/>
              <w:rPr>
                <w:rFonts w:hint="eastAsia" w:ascii="仿宋" w:hAnsi="仿宋" w:eastAsia="仿宋" w:cs="仿宋"/>
                <w:color w:val="000000"/>
                <w:sz w:val="21"/>
                <w:szCs w:val="21"/>
              </w:rPr>
            </w:pPr>
          </w:p>
        </w:tc>
        <w:tc>
          <w:tcPr>
            <w:tcW w:w="240" w:type="dxa"/>
            <w:tcBorders>
              <w:top w:val="nil"/>
              <w:left w:val="nil"/>
              <w:bottom w:val="nil"/>
              <w:right w:val="nil"/>
              <w:tl2br w:val="nil"/>
              <w:tr2bl w:val="nil"/>
            </w:tcBorders>
            <w:vAlign w:val="bottom"/>
          </w:tcPr>
          <w:p>
            <w:pPr>
              <w:spacing w:line="240" w:lineRule="auto"/>
              <w:rPr>
                <w:rFonts w:hint="eastAsia" w:ascii="仿宋" w:hAnsi="仿宋" w:eastAsia="仿宋" w:cs="仿宋"/>
                <w:color w:val="000000"/>
                <w:sz w:val="21"/>
                <w:szCs w:val="21"/>
              </w:rPr>
            </w:pPr>
          </w:p>
        </w:tc>
        <w:tc>
          <w:tcPr>
            <w:tcW w:w="3742" w:type="dxa"/>
            <w:tcBorders>
              <w:top w:val="nil"/>
              <w:left w:val="nil"/>
              <w:bottom w:val="nil"/>
              <w:right w:val="nil"/>
              <w:tl2br w:val="nil"/>
              <w:tr2bl w:val="nil"/>
            </w:tcBorders>
            <w:vAlign w:val="bottom"/>
          </w:tcPr>
          <w:p>
            <w:pPr>
              <w:spacing w:line="240" w:lineRule="auto"/>
              <w:rPr>
                <w:rFonts w:hint="eastAsia" w:ascii="仿宋" w:hAnsi="仿宋" w:eastAsia="仿宋" w:cs="仿宋"/>
                <w:color w:val="000000"/>
                <w:sz w:val="21"/>
                <w:szCs w:val="21"/>
              </w:rPr>
            </w:pPr>
          </w:p>
        </w:tc>
        <w:tc>
          <w:tcPr>
            <w:tcW w:w="1367" w:type="dxa"/>
            <w:tcBorders>
              <w:top w:val="nil"/>
              <w:left w:val="nil"/>
              <w:bottom w:val="nil"/>
              <w:right w:val="nil"/>
              <w:tl2br w:val="nil"/>
              <w:tr2bl w:val="nil"/>
            </w:tcBorders>
            <w:vAlign w:val="bottom"/>
          </w:tcPr>
          <w:p>
            <w:pPr>
              <w:spacing w:line="240" w:lineRule="auto"/>
              <w:rPr>
                <w:rFonts w:hint="eastAsia" w:ascii="仿宋" w:hAnsi="仿宋" w:eastAsia="仿宋" w:cs="仿宋"/>
                <w:color w:val="000000"/>
                <w:sz w:val="21"/>
                <w:szCs w:val="21"/>
              </w:rPr>
            </w:pPr>
          </w:p>
        </w:tc>
        <w:tc>
          <w:tcPr>
            <w:tcW w:w="1344" w:type="dxa"/>
            <w:tcBorders>
              <w:top w:val="nil"/>
              <w:left w:val="nil"/>
              <w:bottom w:val="nil"/>
              <w:right w:val="nil"/>
              <w:tl2br w:val="nil"/>
              <w:tr2bl w:val="nil"/>
            </w:tcBorders>
            <w:vAlign w:val="bottom"/>
          </w:tcPr>
          <w:p>
            <w:pPr>
              <w:widowControl/>
              <w:spacing w:line="240" w:lineRule="auto"/>
              <w:jc w:val="center"/>
              <w:textAlignment w:val="bottom"/>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2022年度</w:t>
            </w:r>
          </w:p>
        </w:tc>
        <w:tc>
          <w:tcPr>
            <w:tcW w:w="1445" w:type="dxa"/>
            <w:tcBorders>
              <w:top w:val="nil"/>
              <w:left w:val="nil"/>
              <w:bottom w:val="nil"/>
              <w:right w:val="nil"/>
              <w:tl2br w:val="nil"/>
              <w:tr2bl w:val="nil"/>
            </w:tcBorders>
            <w:vAlign w:val="bottom"/>
          </w:tcPr>
          <w:p>
            <w:pPr>
              <w:spacing w:line="240" w:lineRule="auto"/>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518" w:type="dxa"/>
            <w:gridSpan w:val="4"/>
            <w:tcBorders>
              <w:top w:val="single" w:color="000000" w:sz="4" w:space="0"/>
              <w:left w:val="single" w:color="000000" w:sz="4" w:space="0"/>
              <w:bottom w:val="single" w:color="000000" w:sz="4" w:space="0"/>
              <w:right w:val="single" w:color="000000" w:sz="4" w:space="0"/>
              <w:tl2br w:val="nil"/>
              <w:tr2bl w:val="nil"/>
            </w:tcBorders>
            <w:shd w:val="clear" w:color="FFFFFF" w:fill="C0C0C0"/>
            <w:vAlign w:val="center"/>
          </w:tcPr>
          <w:p>
            <w:pPr>
              <w:widowControl/>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项目</w:t>
            </w:r>
          </w:p>
        </w:tc>
        <w:tc>
          <w:tcPr>
            <w:tcW w:w="1367" w:type="dxa"/>
            <w:vMerge w:val="restart"/>
            <w:tcBorders>
              <w:top w:val="single" w:color="000000" w:sz="4" w:space="0"/>
              <w:left w:val="nil"/>
              <w:bottom w:val="single" w:color="000000" w:sz="4" w:space="0"/>
              <w:right w:val="single" w:color="000000" w:sz="4" w:space="0"/>
              <w:tl2br w:val="nil"/>
              <w:tr2bl w:val="nil"/>
            </w:tcBorders>
            <w:shd w:val="clear" w:color="FFFFFF" w:fill="C0C0C0"/>
            <w:vAlign w:val="center"/>
          </w:tcPr>
          <w:p>
            <w:pPr>
              <w:widowControl/>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本年支出合计</w:t>
            </w:r>
          </w:p>
        </w:tc>
        <w:tc>
          <w:tcPr>
            <w:tcW w:w="1344" w:type="dxa"/>
            <w:vMerge w:val="restart"/>
            <w:tcBorders>
              <w:top w:val="single" w:color="000000" w:sz="4" w:space="0"/>
              <w:left w:val="nil"/>
              <w:bottom w:val="single" w:color="000000" w:sz="4" w:space="0"/>
              <w:right w:val="single" w:color="000000" w:sz="4" w:space="0"/>
              <w:tl2br w:val="nil"/>
              <w:tr2bl w:val="nil"/>
            </w:tcBorders>
            <w:shd w:val="clear" w:color="FFFFFF" w:fill="C0C0C0"/>
            <w:vAlign w:val="center"/>
          </w:tcPr>
          <w:p>
            <w:pPr>
              <w:widowControl/>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基本支出</w:t>
            </w:r>
          </w:p>
        </w:tc>
        <w:tc>
          <w:tcPr>
            <w:tcW w:w="1445" w:type="dxa"/>
            <w:vMerge w:val="restart"/>
            <w:tcBorders>
              <w:top w:val="single" w:color="000000" w:sz="4" w:space="0"/>
              <w:left w:val="nil"/>
              <w:bottom w:val="single" w:color="000000" w:sz="4" w:space="0"/>
              <w:right w:val="single" w:color="000000" w:sz="4" w:space="0"/>
              <w:tl2br w:val="nil"/>
              <w:tr2bl w:val="nil"/>
            </w:tcBorders>
            <w:shd w:val="clear" w:color="FFFFFF" w:fill="C0C0C0"/>
            <w:vAlign w:val="center"/>
          </w:tcPr>
          <w:p>
            <w:pPr>
              <w:widowControl/>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vMerge w:val="restart"/>
            <w:tcBorders>
              <w:top w:val="nil"/>
              <w:left w:val="single" w:color="000000" w:sz="4" w:space="0"/>
              <w:bottom w:val="single" w:color="000000" w:sz="4" w:space="0"/>
              <w:right w:val="single" w:color="000000" w:sz="4" w:space="0"/>
              <w:tl2br w:val="nil"/>
              <w:tr2bl w:val="nil"/>
            </w:tcBorders>
            <w:shd w:val="clear" w:color="FFFFFF" w:fill="C0C0C0"/>
            <w:vAlign w:val="center"/>
          </w:tcPr>
          <w:p>
            <w:pPr>
              <w:widowControl/>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支出功能分类科目代码</w:t>
            </w:r>
          </w:p>
        </w:tc>
        <w:tc>
          <w:tcPr>
            <w:tcW w:w="3742" w:type="dxa"/>
            <w:vMerge w:val="restart"/>
            <w:tcBorders>
              <w:top w:val="nil"/>
              <w:left w:val="nil"/>
              <w:bottom w:val="single" w:color="000000" w:sz="4" w:space="0"/>
              <w:right w:val="single" w:color="000000" w:sz="4" w:space="0"/>
              <w:tl2br w:val="nil"/>
              <w:tr2bl w:val="nil"/>
            </w:tcBorders>
            <w:shd w:val="clear" w:color="FFFFFF" w:fill="C0C0C0"/>
            <w:vAlign w:val="center"/>
          </w:tcPr>
          <w:p>
            <w:pPr>
              <w:widowControl/>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科目名称</w:t>
            </w:r>
          </w:p>
        </w:tc>
        <w:tc>
          <w:tcPr>
            <w:tcW w:w="1367" w:type="dxa"/>
            <w:vMerge w:val="continue"/>
            <w:tcBorders>
              <w:top w:val="single" w:color="000000" w:sz="4" w:space="0"/>
              <w:left w:val="nil"/>
              <w:bottom w:val="single" w:color="000000" w:sz="4" w:space="0"/>
              <w:right w:val="single" w:color="000000" w:sz="4" w:space="0"/>
              <w:tl2br w:val="nil"/>
              <w:tr2bl w:val="nil"/>
            </w:tcBorders>
            <w:shd w:val="clear" w:color="FFFFFF" w:fill="C0C0C0"/>
            <w:vAlign w:val="center"/>
          </w:tcPr>
          <w:p>
            <w:pPr>
              <w:spacing w:line="240" w:lineRule="auto"/>
              <w:jc w:val="center"/>
              <w:rPr>
                <w:rFonts w:hint="eastAsia" w:ascii="仿宋" w:hAnsi="仿宋" w:eastAsia="仿宋" w:cs="仿宋"/>
                <w:color w:val="000000"/>
                <w:sz w:val="21"/>
                <w:szCs w:val="21"/>
              </w:rPr>
            </w:pPr>
          </w:p>
        </w:tc>
        <w:tc>
          <w:tcPr>
            <w:tcW w:w="1344" w:type="dxa"/>
            <w:vMerge w:val="continue"/>
            <w:tcBorders>
              <w:top w:val="single" w:color="000000" w:sz="4" w:space="0"/>
              <w:left w:val="nil"/>
              <w:bottom w:val="single" w:color="000000" w:sz="4" w:space="0"/>
              <w:right w:val="single" w:color="000000" w:sz="4" w:space="0"/>
              <w:tl2br w:val="nil"/>
              <w:tr2bl w:val="nil"/>
            </w:tcBorders>
            <w:shd w:val="clear" w:color="FFFFFF" w:fill="C0C0C0"/>
            <w:vAlign w:val="center"/>
          </w:tcPr>
          <w:p>
            <w:pPr>
              <w:spacing w:line="240" w:lineRule="auto"/>
              <w:jc w:val="center"/>
              <w:rPr>
                <w:rFonts w:hint="eastAsia" w:ascii="仿宋" w:hAnsi="仿宋" w:eastAsia="仿宋" w:cs="仿宋"/>
                <w:color w:val="000000"/>
                <w:sz w:val="21"/>
                <w:szCs w:val="21"/>
              </w:rPr>
            </w:pPr>
          </w:p>
        </w:tc>
        <w:tc>
          <w:tcPr>
            <w:tcW w:w="1445" w:type="dxa"/>
            <w:vMerge w:val="continue"/>
            <w:tcBorders>
              <w:top w:val="single" w:color="000000" w:sz="4" w:space="0"/>
              <w:left w:val="nil"/>
              <w:bottom w:val="single" w:color="000000" w:sz="4" w:space="0"/>
              <w:right w:val="single" w:color="000000" w:sz="4" w:space="0"/>
              <w:tl2br w:val="nil"/>
              <w:tr2bl w:val="nil"/>
            </w:tcBorders>
            <w:shd w:val="clear" w:color="FFFFFF" w:fill="C0C0C0"/>
            <w:vAlign w:val="center"/>
          </w:tcPr>
          <w:p>
            <w:pPr>
              <w:spacing w:line="240" w:lineRule="auto"/>
              <w:jc w:val="center"/>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vMerge w:val="continue"/>
            <w:tcBorders>
              <w:top w:val="nil"/>
              <w:left w:val="single" w:color="000000" w:sz="4" w:space="0"/>
              <w:bottom w:val="single" w:color="000000" w:sz="4" w:space="0"/>
              <w:right w:val="single" w:color="000000" w:sz="4" w:space="0"/>
              <w:tl2br w:val="nil"/>
              <w:tr2bl w:val="nil"/>
            </w:tcBorders>
            <w:shd w:val="clear" w:color="FFFFFF" w:fill="C0C0C0"/>
            <w:vAlign w:val="center"/>
          </w:tcPr>
          <w:p>
            <w:pPr>
              <w:spacing w:line="240" w:lineRule="auto"/>
              <w:jc w:val="center"/>
              <w:rPr>
                <w:rFonts w:hint="eastAsia" w:ascii="仿宋" w:hAnsi="仿宋" w:eastAsia="仿宋" w:cs="仿宋"/>
                <w:color w:val="000000"/>
                <w:sz w:val="21"/>
                <w:szCs w:val="21"/>
              </w:rPr>
            </w:pPr>
          </w:p>
        </w:tc>
        <w:tc>
          <w:tcPr>
            <w:tcW w:w="3742" w:type="dxa"/>
            <w:vMerge w:val="continue"/>
            <w:tcBorders>
              <w:top w:val="nil"/>
              <w:left w:val="nil"/>
              <w:bottom w:val="single" w:color="000000" w:sz="4" w:space="0"/>
              <w:right w:val="single" w:color="000000" w:sz="4" w:space="0"/>
              <w:tl2br w:val="nil"/>
              <w:tr2bl w:val="nil"/>
            </w:tcBorders>
            <w:shd w:val="clear" w:color="FFFFFF" w:fill="C0C0C0"/>
            <w:vAlign w:val="center"/>
          </w:tcPr>
          <w:p>
            <w:pPr>
              <w:spacing w:line="240" w:lineRule="auto"/>
              <w:jc w:val="center"/>
              <w:rPr>
                <w:rFonts w:hint="eastAsia" w:ascii="仿宋" w:hAnsi="仿宋" w:eastAsia="仿宋" w:cs="仿宋"/>
                <w:color w:val="000000"/>
                <w:sz w:val="21"/>
                <w:szCs w:val="21"/>
              </w:rPr>
            </w:pPr>
          </w:p>
        </w:tc>
        <w:tc>
          <w:tcPr>
            <w:tcW w:w="1367" w:type="dxa"/>
            <w:vMerge w:val="continue"/>
            <w:tcBorders>
              <w:top w:val="single" w:color="000000" w:sz="4" w:space="0"/>
              <w:left w:val="nil"/>
              <w:bottom w:val="single" w:color="000000" w:sz="4" w:space="0"/>
              <w:right w:val="single" w:color="000000" w:sz="4" w:space="0"/>
              <w:tl2br w:val="nil"/>
              <w:tr2bl w:val="nil"/>
            </w:tcBorders>
            <w:shd w:val="clear" w:color="FFFFFF" w:fill="C0C0C0"/>
            <w:vAlign w:val="center"/>
          </w:tcPr>
          <w:p>
            <w:pPr>
              <w:spacing w:line="240" w:lineRule="auto"/>
              <w:jc w:val="center"/>
              <w:rPr>
                <w:rFonts w:hint="eastAsia" w:ascii="仿宋" w:hAnsi="仿宋" w:eastAsia="仿宋" w:cs="仿宋"/>
                <w:color w:val="000000"/>
                <w:sz w:val="21"/>
                <w:szCs w:val="21"/>
              </w:rPr>
            </w:pPr>
          </w:p>
        </w:tc>
        <w:tc>
          <w:tcPr>
            <w:tcW w:w="1344" w:type="dxa"/>
            <w:vMerge w:val="continue"/>
            <w:tcBorders>
              <w:top w:val="single" w:color="000000" w:sz="4" w:space="0"/>
              <w:left w:val="nil"/>
              <w:bottom w:val="single" w:color="000000" w:sz="4" w:space="0"/>
              <w:right w:val="single" w:color="000000" w:sz="4" w:space="0"/>
              <w:tl2br w:val="nil"/>
              <w:tr2bl w:val="nil"/>
            </w:tcBorders>
            <w:shd w:val="clear" w:color="FFFFFF" w:fill="C0C0C0"/>
            <w:vAlign w:val="center"/>
          </w:tcPr>
          <w:p>
            <w:pPr>
              <w:spacing w:line="240" w:lineRule="auto"/>
              <w:jc w:val="center"/>
              <w:rPr>
                <w:rFonts w:hint="eastAsia" w:ascii="仿宋" w:hAnsi="仿宋" w:eastAsia="仿宋" w:cs="仿宋"/>
                <w:color w:val="000000"/>
                <w:sz w:val="21"/>
                <w:szCs w:val="21"/>
              </w:rPr>
            </w:pPr>
          </w:p>
        </w:tc>
        <w:tc>
          <w:tcPr>
            <w:tcW w:w="1445" w:type="dxa"/>
            <w:vMerge w:val="continue"/>
            <w:tcBorders>
              <w:top w:val="single" w:color="000000" w:sz="4" w:space="0"/>
              <w:left w:val="nil"/>
              <w:bottom w:val="single" w:color="000000" w:sz="4" w:space="0"/>
              <w:right w:val="single" w:color="000000" w:sz="4" w:space="0"/>
              <w:tl2br w:val="nil"/>
              <w:tr2bl w:val="nil"/>
            </w:tcBorders>
            <w:shd w:val="clear" w:color="FFFFFF" w:fill="C0C0C0"/>
            <w:vAlign w:val="center"/>
          </w:tcPr>
          <w:p>
            <w:pPr>
              <w:spacing w:line="240" w:lineRule="auto"/>
              <w:jc w:val="center"/>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vMerge w:val="continue"/>
            <w:tcBorders>
              <w:top w:val="nil"/>
              <w:left w:val="single" w:color="000000" w:sz="4" w:space="0"/>
              <w:bottom w:val="single" w:color="000000" w:sz="4" w:space="0"/>
              <w:right w:val="single" w:color="000000" w:sz="4" w:space="0"/>
              <w:tl2br w:val="nil"/>
              <w:tr2bl w:val="nil"/>
            </w:tcBorders>
            <w:shd w:val="clear" w:color="FFFFFF" w:fill="C0C0C0"/>
            <w:vAlign w:val="center"/>
          </w:tcPr>
          <w:p>
            <w:pPr>
              <w:spacing w:line="240" w:lineRule="auto"/>
              <w:jc w:val="center"/>
              <w:rPr>
                <w:rFonts w:hint="eastAsia" w:ascii="仿宋" w:hAnsi="仿宋" w:eastAsia="仿宋" w:cs="仿宋"/>
                <w:color w:val="000000"/>
                <w:sz w:val="21"/>
                <w:szCs w:val="21"/>
              </w:rPr>
            </w:pPr>
          </w:p>
        </w:tc>
        <w:tc>
          <w:tcPr>
            <w:tcW w:w="3742" w:type="dxa"/>
            <w:vMerge w:val="continue"/>
            <w:tcBorders>
              <w:top w:val="nil"/>
              <w:left w:val="nil"/>
              <w:bottom w:val="single" w:color="000000" w:sz="4" w:space="0"/>
              <w:right w:val="single" w:color="000000" w:sz="4" w:space="0"/>
              <w:tl2br w:val="nil"/>
              <w:tr2bl w:val="nil"/>
            </w:tcBorders>
            <w:shd w:val="clear" w:color="FFFFFF" w:fill="C0C0C0"/>
            <w:vAlign w:val="center"/>
          </w:tcPr>
          <w:p>
            <w:pPr>
              <w:spacing w:line="240" w:lineRule="auto"/>
              <w:jc w:val="center"/>
              <w:rPr>
                <w:rFonts w:hint="eastAsia" w:ascii="仿宋" w:hAnsi="仿宋" w:eastAsia="仿宋" w:cs="仿宋"/>
                <w:color w:val="000000"/>
                <w:sz w:val="21"/>
                <w:szCs w:val="21"/>
              </w:rPr>
            </w:pPr>
          </w:p>
        </w:tc>
        <w:tc>
          <w:tcPr>
            <w:tcW w:w="1367" w:type="dxa"/>
            <w:vMerge w:val="continue"/>
            <w:tcBorders>
              <w:top w:val="single" w:color="000000" w:sz="4" w:space="0"/>
              <w:left w:val="nil"/>
              <w:bottom w:val="single" w:color="000000" w:sz="4" w:space="0"/>
              <w:right w:val="single" w:color="000000" w:sz="4" w:space="0"/>
              <w:tl2br w:val="nil"/>
              <w:tr2bl w:val="nil"/>
            </w:tcBorders>
            <w:shd w:val="clear" w:color="FFFFFF" w:fill="C0C0C0"/>
            <w:vAlign w:val="center"/>
          </w:tcPr>
          <w:p>
            <w:pPr>
              <w:spacing w:line="240" w:lineRule="auto"/>
              <w:jc w:val="center"/>
              <w:rPr>
                <w:rFonts w:hint="eastAsia" w:ascii="仿宋" w:hAnsi="仿宋" w:eastAsia="仿宋" w:cs="仿宋"/>
                <w:color w:val="000000"/>
                <w:sz w:val="21"/>
                <w:szCs w:val="21"/>
              </w:rPr>
            </w:pPr>
          </w:p>
        </w:tc>
        <w:tc>
          <w:tcPr>
            <w:tcW w:w="1344" w:type="dxa"/>
            <w:vMerge w:val="continue"/>
            <w:tcBorders>
              <w:top w:val="single" w:color="000000" w:sz="4" w:space="0"/>
              <w:left w:val="nil"/>
              <w:bottom w:val="single" w:color="000000" w:sz="4" w:space="0"/>
              <w:right w:val="single" w:color="000000" w:sz="4" w:space="0"/>
              <w:tl2br w:val="nil"/>
              <w:tr2bl w:val="nil"/>
            </w:tcBorders>
            <w:shd w:val="clear" w:color="FFFFFF" w:fill="C0C0C0"/>
            <w:vAlign w:val="center"/>
          </w:tcPr>
          <w:p>
            <w:pPr>
              <w:spacing w:line="240" w:lineRule="auto"/>
              <w:jc w:val="center"/>
              <w:rPr>
                <w:rFonts w:hint="eastAsia" w:ascii="仿宋" w:hAnsi="仿宋" w:eastAsia="仿宋" w:cs="仿宋"/>
                <w:color w:val="000000"/>
                <w:sz w:val="21"/>
                <w:szCs w:val="21"/>
              </w:rPr>
            </w:pPr>
          </w:p>
        </w:tc>
        <w:tc>
          <w:tcPr>
            <w:tcW w:w="1445" w:type="dxa"/>
            <w:vMerge w:val="continue"/>
            <w:tcBorders>
              <w:top w:val="single" w:color="000000" w:sz="4" w:space="0"/>
              <w:left w:val="nil"/>
              <w:bottom w:val="single" w:color="000000" w:sz="4" w:space="0"/>
              <w:right w:val="single" w:color="000000" w:sz="4" w:space="0"/>
              <w:tl2br w:val="nil"/>
              <w:tr2bl w:val="nil"/>
            </w:tcBorders>
            <w:shd w:val="clear" w:color="FFFFFF" w:fill="C0C0C0"/>
            <w:vAlign w:val="center"/>
          </w:tcPr>
          <w:p>
            <w:pPr>
              <w:spacing w:line="240" w:lineRule="auto"/>
              <w:jc w:val="center"/>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296" w:type="dxa"/>
            <w:vMerge w:val="restart"/>
            <w:tcBorders>
              <w:top w:val="nil"/>
              <w:left w:val="single" w:color="000000" w:sz="4" w:space="0"/>
              <w:bottom w:val="single" w:color="000000" w:sz="4" w:space="0"/>
              <w:right w:val="single" w:color="000000" w:sz="4" w:space="0"/>
              <w:tl2br w:val="nil"/>
              <w:tr2bl w:val="nil"/>
            </w:tcBorders>
            <w:shd w:val="clear" w:color="FFFFFF" w:fill="C0C0C0"/>
            <w:vAlign w:val="center"/>
          </w:tcPr>
          <w:p>
            <w:pPr>
              <w:widowControl/>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类</w:t>
            </w:r>
          </w:p>
        </w:tc>
        <w:tc>
          <w:tcPr>
            <w:tcW w:w="240" w:type="dxa"/>
            <w:vMerge w:val="restart"/>
            <w:tcBorders>
              <w:top w:val="nil"/>
              <w:left w:val="nil"/>
              <w:bottom w:val="single" w:color="000000" w:sz="4" w:space="0"/>
              <w:right w:val="single" w:color="000000" w:sz="4" w:space="0"/>
              <w:tl2br w:val="nil"/>
              <w:tr2bl w:val="nil"/>
            </w:tcBorders>
            <w:shd w:val="clear" w:color="FFFFFF" w:fill="C0C0C0"/>
            <w:vAlign w:val="center"/>
          </w:tcPr>
          <w:p>
            <w:pPr>
              <w:widowControl/>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款</w:t>
            </w:r>
          </w:p>
        </w:tc>
        <w:tc>
          <w:tcPr>
            <w:tcW w:w="240" w:type="dxa"/>
            <w:vMerge w:val="restart"/>
            <w:tcBorders>
              <w:top w:val="nil"/>
              <w:left w:val="nil"/>
              <w:bottom w:val="single" w:color="000000" w:sz="4" w:space="0"/>
              <w:right w:val="single" w:color="000000" w:sz="4" w:space="0"/>
              <w:tl2br w:val="nil"/>
              <w:tr2bl w:val="nil"/>
            </w:tcBorders>
            <w:shd w:val="clear" w:color="FFFFFF" w:fill="C0C0C0"/>
            <w:vAlign w:val="center"/>
          </w:tcPr>
          <w:p>
            <w:pPr>
              <w:widowControl/>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项</w:t>
            </w:r>
          </w:p>
        </w:tc>
        <w:tc>
          <w:tcPr>
            <w:tcW w:w="3742" w:type="dxa"/>
            <w:tcBorders>
              <w:top w:val="nil"/>
              <w:left w:val="nil"/>
              <w:bottom w:val="single" w:color="000000" w:sz="4" w:space="0"/>
              <w:right w:val="single" w:color="000000" w:sz="4" w:space="0"/>
              <w:tl2br w:val="nil"/>
              <w:tr2bl w:val="nil"/>
            </w:tcBorders>
            <w:shd w:val="clear" w:color="FFFFFF" w:fill="C0C0C0"/>
            <w:vAlign w:val="center"/>
          </w:tcPr>
          <w:p>
            <w:pPr>
              <w:widowControl/>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栏次</w:t>
            </w:r>
          </w:p>
        </w:tc>
        <w:tc>
          <w:tcPr>
            <w:tcW w:w="1367" w:type="dxa"/>
            <w:tcBorders>
              <w:top w:val="nil"/>
              <w:left w:val="nil"/>
              <w:bottom w:val="single" w:color="000000" w:sz="4" w:space="0"/>
              <w:right w:val="single" w:color="000000" w:sz="4" w:space="0"/>
              <w:tl2br w:val="nil"/>
              <w:tr2bl w:val="nil"/>
            </w:tcBorders>
            <w:shd w:val="clear" w:color="FFFFFF" w:fill="C0C0C0"/>
            <w:vAlign w:val="center"/>
          </w:tcPr>
          <w:p>
            <w:pPr>
              <w:widowControl/>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w:t>
            </w:r>
          </w:p>
        </w:tc>
        <w:tc>
          <w:tcPr>
            <w:tcW w:w="1344" w:type="dxa"/>
            <w:tcBorders>
              <w:top w:val="nil"/>
              <w:left w:val="nil"/>
              <w:bottom w:val="single" w:color="000000" w:sz="4" w:space="0"/>
              <w:right w:val="single" w:color="000000" w:sz="4" w:space="0"/>
              <w:tl2br w:val="nil"/>
              <w:tr2bl w:val="nil"/>
            </w:tcBorders>
            <w:shd w:val="clear" w:color="FFFFFF" w:fill="C0C0C0"/>
            <w:vAlign w:val="center"/>
          </w:tcPr>
          <w:p>
            <w:pPr>
              <w:widowControl/>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w:t>
            </w:r>
          </w:p>
        </w:tc>
        <w:tc>
          <w:tcPr>
            <w:tcW w:w="1445" w:type="dxa"/>
            <w:tcBorders>
              <w:top w:val="nil"/>
              <w:left w:val="nil"/>
              <w:bottom w:val="single" w:color="000000" w:sz="4" w:space="0"/>
              <w:right w:val="single" w:color="000000" w:sz="4" w:space="0"/>
              <w:tl2br w:val="nil"/>
              <w:tr2bl w:val="nil"/>
            </w:tcBorders>
            <w:shd w:val="clear" w:color="FFFFFF" w:fill="C0C0C0"/>
            <w:vAlign w:val="center"/>
          </w:tcPr>
          <w:p>
            <w:pPr>
              <w:widowControl/>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296" w:type="dxa"/>
            <w:vMerge w:val="continue"/>
            <w:tcBorders>
              <w:top w:val="nil"/>
              <w:left w:val="single" w:color="000000" w:sz="4" w:space="0"/>
              <w:bottom w:val="single" w:color="000000" w:sz="4" w:space="0"/>
              <w:right w:val="single" w:color="000000" w:sz="4" w:space="0"/>
              <w:tl2br w:val="nil"/>
              <w:tr2bl w:val="nil"/>
            </w:tcBorders>
            <w:shd w:val="clear" w:color="FFFFFF" w:fill="C0C0C0"/>
            <w:vAlign w:val="center"/>
          </w:tcPr>
          <w:p>
            <w:pPr>
              <w:spacing w:line="240" w:lineRule="auto"/>
              <w:jc w:val="center"/>
              <w:rPr>
                <w:rFonts w:hint="eastAsia" w:ascii="仿宋" w:hAnsi="仿宋" w:eastAsia="仿宋" w:cs="仿宋"/>
                <w:color w:val="000000"/>
                <w:sz w:val="21"/>
                <w:szCs w:val="21"/>
              </w:rPr>
            </w:pPr>
          </w:p>
        </w:tc>
        <w:tc>
          <w:tcPr>
            <w:tcW w:w="240" w:type="dxa"/>
            <w:vMerge w:val="continue"/>
            <w:tcBorders>
              <w:top w:val="nil"/>
              <w:left w:val="nil"/>
              <w:bottom w:val="single" w:color="000000" w:sz="4" w:space="0"/>
              <w:right w:val="single" w:color="000000" w:sz="4" w:space="0"/>
              <w:tl2br w:val="nil"/>
              <w:tr2bl w:val="nil"/>
            </w:tcBorders>
            <w:shd w:val="clear" w:color="FFFFFF" w:fill="C0C0C0"/>
            <w:vAlign w:val="center"/>
          </w:tcPr>
          <w:p>
            <w:pPr>
              <w:spacing w:line="240" w:lineRule="auto"/>
              <w:jc w:val="center"/>
              <w:rPr>
                <w:rFonts w:hint="eastAsia" w:ascii="仿宋" w:hAnsi="仿宋" w:eastAsia="仿宋" w:cs="仿宋"/>
                <w:color w:val="000000"/>
                <w:sz w:val="21"/>
                <w:szCs w:val="21"/>
              </w:rPr>
            </w:pPr>
          </w:p>
        </w:tc>
        <w:tc>
          <w:tcPr>
            <w:tcW w:w="240" w:type="dxa"/>
            <w:vMerge w:val="continue"/>
            <w:tcBorders>
              <w:top w:val="nil"/>
              <w:left w:val="nil"/>
              <w:bottom w:val="single" w:color="000000" w:sz="4" w:space="0"/>
              <w:right w:val="single" w:color="000000" w:sz="4" w:space="0"/>
              <w:tl2br w:val="nil"/>
              <w:tr2bl w:val="nil"/>
            </w:tcBorders>
            <w:shd w:val="clear" w:color="FFFFFF" w:fill="C0C0C0"/>
            <w:vAlign w:val="center"/>
          </w:tcPr>
          <w:p>
            <w:pPr>
              <w:spacing w:line="240" w:lineRule="auto"/>
              <w:jc w:val="center"/>
              <w:rPr>
                <w:rFonts w:hint="eastAsia" w:ascii="仿宋" w:hAnsi="仿宋" w:eastAsia="仿宋" w:cs="仿宋"/>
                <w:color w:val="000000"/>
                <w:sz w:val="21"/>
                <w:szCs w:val="21"/>
              </w:rPr>
            </w:pPr>
          </w:p>
        </w:tc>
        <w:tc>
          <w:tcPr>
            <w:tcW w:w="3742" w:type="dxa"/>
            <w:tcBorders>
              <w:top w:val="nil"/>
              <w:left w:val="nil"/>
              <w:bottom w:val="single" w:color="000000" w:sz="4" w:space="0"/>
              <w:right w:val="single" w:color="000000" w:sz="4" w:space="0"/>
              <w:tl2br w:val="nil"/>
              <w:tr2bl w:val="nil"/>
            </w:tcBorders>
            <w:shd w:val="clear" w:color="FFFFFF" w:fill="C0C0C0"/>
            <w:vAlign w:val="center"/>
          </w:tcPr>
          <w:p>
            <w:pPr>
              <w:widowControl/>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合计</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447.74</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364.81</w:t>
            </w:r>
          </w:p>
        </w:tc>
        <w:tc>
          <w:tcPr>
            <w:tcW w:w="1445"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82.93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201</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一般公共服务支出</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386.37</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303.44</w:t>
            </w:r>
          </w:p>
        </w:tc>
        <w:tc>
          <w:tcPr>
            <w:tcW w:w="1445"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82.93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20129</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群众团体事务</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386.37</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303.44</w:t>
            </w:r>
          </w:p>
        </w:tc>
        <w:tc>
          <w:tcPr>
            <w:tcW w:w="1445"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82.93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2012901</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行政运行</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234.78</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234.78</w:t>
            </w:r>
          </w:p>
        </w:tc>
        <w:tc>
          <w:tcPr>
            <w:tcW w:w="1445" w:type="dxa"/>
            <w:tcBorders>
              <w:top w:val="nil"/>
              <w:left w:val="nil"/>
              <w:bottom w:val="single" w:color="000000" w:sz="4" w:space="0"/>
              <w:right w:val="single" w:color="000000" w:sz="4" w:space="0"/>
              <w:tl2br w:val="nil"/>
              <w:tr2bl w:val="nil"/>
            </w:tcBorders>
            <w:vAlign w:val="center"/>
          </w:tcPr>
          <w:p>
            <w:pPr>
              <w:spacing w:line="240" w:lineRule="auto"/>
              <w:jc w:val="right"/>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2012999</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其他群众团体事务支出</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151.59</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68.66</w:t>
            </w:r>
          </w:p>
        </w:tc>
        <w:tc>
          <w:tcPr>
            <w:tcW w:w="1445"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82.93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208</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社会保障和就业支出</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32.35</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32.35</w:t>
            </w:r>
          </w:p>
        </w:tc>
        <w:tc>
          <w:tcPr>
            <w:tcW w:w="1445" w:type="dxa"/>
            <w:tcBorders>
              <w:top w:val="nil"/>
              <w:left w:val="nil"/>
              <w:bottom w:val="single" w:color="000000" w:sz="4" w:space="0"/>
              <w:right w:val="single" w:color="000000" w:sz="4" w:space="0"/>
              <w:tl2br w:val="nil"/>
              <w:tr2bl w:val="nil"/>
            </w:tcBorders>
            <w:vAlign w:val="center"/>
          </w:tcPr>
          <w:p>
            <w:pPr>
              <w:spacing w:line="240" w:lineRule="auto"/>
              <w:jc w:val="right"/>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20805</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行政事业单位养老支出</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31.57</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31.57</w:t>
            </w:r>
          </w:p>
        </w:tc>
        <w:tc>
          <w:tcPr>
            <w:tcW w:w="1445" w:type="dxa"/>
            <w:tcBorders>
              <w:top w:val="nil"/>
              <w:left w:val="nil"/>
              <w:bottom w:val="single" w:color="000000" w:sz="4" w:space="0"/>
              <w:right w:val="single" w:color="000000" w:sz="4" w:space="0"/>
              <w:tl2br w:val="nil"/>
              <w:tr2bl w:val="nil"/>
            </w:tcBorders>
            <w:vAlign w:val="center"/>
          </w:tcPr>
          <w:p>
            <w:pPr>
              <w:spacing w:line="240" w:lineRule="auto"/>
              <w:jc w:val="right"/>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2080505</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ind w:firstLine="210" w:firstLineChars="100"/>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机关事业单位基本养老保险缴费支出</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27.44</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27.44</w:t>
            </w:r>
          </w:p>
        </w:tc>
        <w:tc>
          <w:tcPr>
            <w:tcW w:w="1445" w:type="dxa"/>
            <w:tcBorders>
              <w:top w:val="nil"/>
              <w:left w:val="nil"/>
              <w:bottom w:val="single" w:color="000000" w:sz="4" w:space="0"/>
              <w:right w:val="single" w:color="000000" w:sz="4" w:space="0"/>
              <w:tl2br w:val="nil"/>
              <w:tr2bl w:val="nil"/>
            </w:tcBorders>
            <w:vAlign w:val="center"/>
          </w:tcPr>
          <w:p>
            <w:pPr>
              <w:spacing w:line="240" w:lineRule="auto"/>
              <w:jc w:val="right"/>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2080599</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其他行政事业单位养老支出</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4.12</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4.12</w:t>
            </w:r>
          </w:p>
        </w:tc>
        <w:tc>
          <w:tcPr>
            <w:tcW w:w="1445" w:type="dxa"/>
            <w:tcBorders>
              <w:top w:val="nil"/>
              <w:left w:val="nil"/>
              <w:bottom w:val="single" w:color="000000" w:sz="4" w:space="0"/>
              <w:right w:val="single" w:color="000000" w:sz="4" w:space="0"/>
              <w:tl2br w:val="nil"/>
              <w:tr2bl w:val="nil"/>
            </w:tcBorders>
            <w:vAlign w:val="center"/>
          </w:tcPr>
          <w:p>
            <w:pPr>
              <w:spacing w:line="240" w:lineRule="auto"/>
              <w:jc w:val="right"/>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20808</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抚恤</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0.78</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0.78</w:t>
            </w:r>
          </w:p>
        </w:tc>
        <w:tc>
          <w:tcPr>
            <w:tcW w:w="1445" w:type="dxa"/>
            <w:tcBorders>
              <w:top w:val="nil"/>
              <w:left w:val="nil"/>
              <w:bottom w:val="single" w:color="000000" w:sz="4" w:space="0"/>
              <w:right w:val="single" w:color="000000" w:sz="4" w:space="0"/>
              <w:tl2br w:val="nil"/>
              <w:tr2bl w:val="nil"/>
            </w:tcBorders>
            <w:vAlign w:val="center"/>
          </w:tcPr>
          <w:p>
            <w:pPr>
              <w:spacing w:line="240" w:lineRule="auto"/>
              <w:jc w:val="right"/>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2080801</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死亡抚恤</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0.78</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0.78</w:t>
            </w:r>
          </w:p>
        </w:tc>
        <w:tc>
          <w:tcPr>
            <w:tcW w:w="1445" w:type="dxa"/>
            <w:tcBorders>
              <w:top w:val="nil"/>
              <w:left w:val="nil"/>
              <w:bottom w:val="single" w:color="000000" w:sz="4" w:space="0"/>
              <w:right w:val="single" w:color="000000" w:sz="4" w:space="0"/>
              <w:tl2br w:val="nil"/>
              <w:tr2bl w:val="nil"/>
            </w:tcBorders>
            <w:vAlign w:val="center"/>
          </w:tcPr>
          <w:p>
            <w:pPr>
              <w:spacing w:line="240" w:lineRule="auto"/>
              <w:jc w:val="right"/>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210</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卫生健康支出</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12.36</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12.36</w:t>
            </w:r>
          </w:p>
        </w:tc>
        <w:tc>
          <w:tcPr>
            <w:tcW w:w="1445" w:type="dxa"/>
            <w:tcBorders>
              <w:top w:val="nil"/>
              <w:left w:val="nil"/>
              <w:bottom w:val="single" w:color="000000" w:sz="4" w:space="0"/>
              <w:right w:val="single" w:color="000000" w:sz="4" w:space="0"/>
              <w:tl2br w:val="nil"/>
              <w:tr2bl w:val="nil"/>
            </w:tcBorders>
            <w:vAlign w:val="center"/>
          </w:tcPr>
          <w:p>
            <w:pPr>
              <w:spacing w:line="240" w:lineRule="auto"/>
              <w:jc w:val="right"/>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21011</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行政事业单位医疗</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12.36</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12.36</w:t>
            </w:r>
          </w:p>
        </w:tc>
        <w:tc>
          <w:tcPr>
            <w:tcW w:w="1445" w:type="dxa"/>
            <w:tcBorders>
              <w:top w:val="nil"/>
              <w:left w:val="nil"/>
              <w:bottom w:val="single" w:color="000000" w:sz="4" w:space="0"/>
              <w:right w:val="single" w:color="000000" w:sz="4" w:space="0"/>
              <w:tl2br w:val="nil"/>
              <w:tr2bl w:val="nil"/>
            </w:tcBorders>
            <w:vAlign w:val="center"/>
          </w:tcPr>
          <w:p>
            <w:pPr>
              <w:spacing w:line="240" w:lineRule="auto"/>
              <w:jc w:val="right"/>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2101101</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行政单位医疗</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5.70</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5.70</w:t>
            </w:r>
          </w:p>
        </w:tc>
        <w:tc>
          <w:tcPr>
            <w:tcW w:w="1445" w:type="dxa"/>
            <w:tcBorders>
              <w:top w:val="nil"/>
              <w:left w:val="nil"/>
              <w:bottom w:val="single" w:color="000000" w:sz="4" w:space="0"/>
              <w:right w:val="single" w:color="000000" w:sz="4" w:space="0"/>
              <w:tl2br w:val="nil"/>
              <w:tr2bl w:val="nil"/>
            </w:tcBorders>
            <w:vAlign w:val="center"/>
          </w:tcPr>
          <w:p>
            <w:pPr>
              <w:spacing w:line="240" w:lineRule="auto"/>
              <w:jc w:val="right"/>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2101102</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事业单位医疗</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6.06</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6.06</w:t>
            </w:r>
          </w:p>
        </w:tc>
        <w:tc>
          <w:tcPr>
            <w:tcW w:w="1445" w:type="dxa"/>
            <w:tcBorders>
              <w:top w:val="nil"/>
              <w:left w:val="nil"/>
              <w:bottom w:val="single" w:color="000000" w:sz="4" w:space="0"/>
              <w:right w:val="single" w:color="000000" w:sz="4" w:space="0"/>
              <w:tl2br w:val="nil"/>
              <w:tr2bl w:val="nil"/>
            </w:tcBorders>
            <w:vAlign w:val="center"/>
          </w:tcPr>
          <w:p>
            <w:pPr>
              <w:spacing w:line="240" w:lineRule="auto"/>
              <w:jc w:val="right"/>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2101103</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公务员医疗补助</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0.60</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0.60</w:t>
            </w:r>
          </w:p>
        </w:tc>
        <w:tc>
          <w:tcPr>
            <w:tcW w:w="1445" w:type="dxa"/>
            <w:tcBorders>
              <w:top w:val="nil"/>
              <w:left w:val="nil"/>
              <w:bottom w:val="single" w:color="000000" w:sz="4" w:space="0"/>
              <w:right w:val="single" w:color="000000" w:sz="4" w:space="0"/>
              <w:tl2br w:val="nil"/>
              <w:tr2bl w:val="nil"/>
            </w:tcBorders>
            <w:vAlign w:val="center"/>
          </w:tcPr>
          <w:p>
            <w:pPr>
              <w:spacing w:line="240" w:lineRule="auto"/>
              <w:jc w:val="right"/>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221</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住房保障支出</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16.66</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16.66</w:t>
            </w:r>
          </w:p>
        </w:tc>
        <w:tc>
          <w:tcPr>
            <w:tcW w:w="1445" w:type="dxa"/>
            <w:tcBorders>
              <w:top w:val="nil"/>
              <w:left w:val="nil"/>
              <w:bottom w:val="single" w:color="000000" w:sz="4" w:space="0"/>
              <w:right w:val="single" w:color="000000" w:sz="4" w:space="0"/>
              <w:tl2br w:val="nil"/>
              <w:tr2bl w:val="nil"/>
            </w:tcBorders>
            <w:vAlign w:val="center"/>
          </w:tcPr>
          <w:p>
            <w:pPr>
              <w:spacing w:line="240" w:lineRule="auto"/>
              <w:jc w:val="right"/>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22102</w:t>
            </w:r>
          </w:p>
        </w:tc>
        <w:tc>
          <w:tcPr>
            <w:tcW w:w="3742" w:type="dxa"/>
            <w:tcBorders>
              <w:top w:val="nil"/>
              <w:left w:val="nil"/>
              <w:bottom w:val="single" w:color="000000" w:sz="4"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住房改革支出</w:t>
            </w:r>
          </w:p>
        </w:tc>
        <w:tc>
          <w:tcPr>
            <w:tcW w:w="1367"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16.66</w:t>
            </w:r>
          </w:p>
        </w:tc>
        <w:tc>
          <w:tcPr>
            <w:tcW w:w="1344" w:type="dxa"/>
            <w:tcBorders>
              <w:top w:val="nil"/>
              <w:left w:val="nil"/>
              <w:bottom w:val="single" w:color="000000" w:sz="4"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16.66</w:t>
            </w:r>
          </w:p>
        </w:tc>
        <w:tc>
          <w:tcPr>
            <w:tcW w:w="1445" w:type="dxa"/>
            <w:tcBorders>
              <w:top w:val="nil"/>
              <w:left w:val="nil"/>
              <w:bottom w:val="single" w:color="000000" w:sz="4" w:space="0"/>
              <w:right w:val="single" w:color="000000" w:sz="4" w:space="0"/>
              <w:tl2br w:val="nil"/>
              <w:tr2bl w:val="nil"/>
            </w:tcBorders>
            <w:vAlign w:val="center"/>
          </w:tcPr>
          <w:p>
            <w:pPr>
              <w:spacing w:line="240" w:lineRule="auto"/>
              <w:jc w:val="right"/>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776" w:type="dxa"/>
            <w:gridSpan w:val="3"/>
            <w:tcBorders>
              <w:top w:val="nil"/>
              <w:left w:val="single" w:color="000000" w:sz="4" w:space="0"/>
              <w:bottom w:val="single" w:color="000000" w:sz="8"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2210201</w:t>
            </w:r>
          </w:p>
        </w:tc>
        <w:tc>
          <w:tcPr>
            <w:tcW w:w="3742" w:type="dxa"/>
            <w:tcBorders>
              <w:top w:val="nil"/>
              <w:left w:val="nil"/>
              <w:bottom w:val="single" w:color="000000" w:sz="8" w:space="0"/>
              <w:right w:val="single" w:color="000000" w:sz="4" w:space="0"/>
              <w:tl2br w:val="nil"/>
              <w:tr2bl w:val="nil"/>
            </w:tcBorders>
            <w:vAlign w:val="center"/>
          </w:tcPr>
          <w:p>
            <w:pPr>
              <w:widowControl/>
              <w:spacing w:line="240" w:lineRule="auto"/>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住房公积金</w:t>
            </w:r>
          </w:p>
        </w:tc>
        <w:tc>
          <w:tcPr>
            <w:tcW w:w="1367" w:type="dxa"/>
            <w:tcBorders>
              <w:top w:val="nil"/>
              <w:left w:val="nil"/>
              <w:bottom w:val="single" w:color="000000" w:sz="8"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16.66</w:t>
            </w:r>
          </w:p>
        </w:tc>
        <w:tc>
          <w:tcPr>
            <w:tcW w:w="1344" w:type="dxa"/>
            <w:tcBorders>
              <w:top w:val="nil"/>
              <w:left w:val="nil"/>
              <w:bottom w:val="single" w:color="000000" w:sz="8" w:space="0"/>
              <w:right w:val="single" w:color="000000" w:sz="4" w:space="0"/>
              <w:tl2br w:val="nil"/>
              <w:tr2bl w:val="nil"/>
            </w:tcBorders>
            <w:vAlign w:val="center"/>
          </w:tcPr>
          <w:p>
            <w:pPr>
              <w:widowControl/>
              <w:spacing w:line="240" w:lineRule="auto"/>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16.66</w:t>
            </w:r>
          </w:p>
        </w:tc>
        <w:tc>
          <w:tcPr>
            <w:tcW w:w="1445" w:type="dxa"/>
            <w:tcBorders>
              <w:top w:val="nil"/>
              <w:left w:val="nil"/>
              <w:bottom w:val="single" w:color="000000" w:sz="8" w:space="0"/>
              <w:right w:val="single" w:color="000000" w:sz="4" w:space="0"/>
              <w:tl2br w:val="nil"/>
              <w:tr2bl w:val="nil"/>
            </w:tcBorders>
            <w:vAlign w:val="center"/>
          </w:tcPr>
          <w:p>
            <w:pPr>
              <w:spacing w:line="240" w:lineRule="auto"/>
              <w:jc w:val="right"/>
              <w:rPr>
                <w:rFonts w:hint="eastAsia" w:ascii="仿宋" w:hAnsi="仿宋" w:eastAsia="仿宋" w:cs="仿宋"/>
                <w:color w:val="000000"/>
                <w:sz w:val="21"/>
                <w:szCs w:val="21"/>
              </w:rPr>
            </w:pPr>
          </w:p>
        </w:tc>
      </w:tr>
    </w:tbl>
    <w:p>
      <w:pPr>
        <w:widowControl/>
        <w:numPr>
          <w:ilvl w:val="0"/>
          <w:numId w:val="5"/>
        </w:numPr>
        <w:autoSpaceDE/>
        <w:autoSpaceDN/>
        <w:snapToGrid w:val="0"/>
        <w:spacing w:line="578" w:lineRule="exact"/>
        <w:ind w:left="0" w:leftChars="0" w:firstLine="643" w:firstLineChars="0"/>
        <w:jc w:val="both"/>
        <w:rPr>
          <w:rStyle w:val="20"/>
          <w:rFonts w:hint="eastAsia" w:ascii="仿宋" w:hAnsi="仿宋" w:eastAsia="仿宋" w:cs="仿宋"/>
          <w:sz w:val="32"/>
          <w:szCs w:val="32"/>
        </w:rPr>
      </w:pPr>
      <w:r>
        <w:rPr>
          <w:rFonts w:hint="eastAsia" w:ascii="方正楷体简体" w:hAnsi="方正楷体简体" w:eastAsia="方正楷体简体" w:cs="方正楷体简体"/>
          <w:b/>
          <w:color w:val="000000"/>
          <w:sz w:val="32"/>
          <w:szCs w:val="32"/>
          <w:shd w:val="clear" w:color="auto" w:fill="FFFFFF"/>
          <w:lang w:val="zh-CN"/>
        </w:rPr>
        <w:t>部门财政资金</w:t>
      </w:r>
      <w:r>
        <w:rPr>
          <w:rFonts w:hint="eastAsia" w:ascii="方正楷体简体" w:hAnsi="方正楷体简体" w:eastAsia="方正楷体简体" w:cs="方正楷体简体"/>
          <w:b/>
          <w:color w:val="000000"/>
          <w:sz w:val="32"/>
          <w:szCs w:val="32"/>
          <w:shd w:val="clear" w:color="auto" w:fill="FFFFFF"/>
          <w:lang w:val="en-US" w:eastAsia="zh-CN"/>
        </w:rPr>
        <w:t>收入</w:t>
      </w:r>
      <w:r>
        <w:rPr>
          <w:rFonts w:hint="eastAsia" w:ascii="方正楷体简体" w:hAnsi="方正楷体简体" w:eastAsia="方正楷体简体" w:cs="方正楷体简体"/>
          <w:b/>
          <w:color w:val="000000"/>
          <w:sz w:val="32"/>
          <w:szCs w:val="32"/>
          <w:shd w:val="clear" w:color="auto" w:fill="FFFFFF"/>
          <w:lang w:val="zh-CN"/>
        </w:rPr>
        <w:t>情况。</w:t>
      </w:r>
      <w:r>
        <w:rPr>
          <w:rFonts w:hint="eastAsia" w:ascii="仿宋" w:hAnsi="仿宋" w:eastAsia="仿宋" w:cs="仿宋"/>
          <w:b/>
          <w:color w:val="000000"/>
          <w:sz w:val="32"/>
          <w:szCs w:val="32"/>
          <w:shd w:val="clear" w:color="auto" w:fill="FFFFFF"/>
          <w:lang w:val="zh-CN"/>
        </w:rPr>
        <w:t>（</w:t>
      </w:r>
      <w:r>
        <w:rPr>
          <w:rStyle w:val="20"/>
          <w:rFonts w:hint="eastAsia" w:ascii="仿宋" w:hAnsi="仿宋" w:eastAsia="仿宋" w:cs="仿宋"/>
          <w:sz w:val="32"/>
          <w:szCs w:val="32"/>
          <w:lang w:val="zh-CN"/>
        </w:rPr>
        <w:t>见</w:t>
      </w:r>
      <w:r>
        <w:rPr>
          <w:rStyle w:val="20"/>
          <w:rFonts w:hint="eastAsia" w:ascii="仿宋" w:hAnsi="仿宋" w:eastAsia="仿宋" w:cs="仿宋"/>
          <w:sz w:val="32"/>
          <w:szCs w:val="32"/>
          <w:lang w:eastAsia="zh-CN"/>
        </w:rPr>
        <w:t>2022</w:t>
      </w:r>
      <w:r>
        <w:rPr>
          <w:rStyle w:val="20"/>
          <w:rFonts w:hint="eastAsia" w:ascii="仿宋" w:hAnsi="仿宋" w:eastAsia="仿宋" w:cs="仿宋"/>
          <w:sz w:val="32"/>
          <w:szCs w:val="32"/>
        </w:rPr>
        <w:t>年财政资金</w:t>
      </w:r>
      <w:r>
        <w:rPr>
          <w:rStyle w:val="20"/>
          <w:rFonts w:hint="eastAsia" w:ascii="仿宋" w:hAnsi="仿宋" w:eastAsia="仿宋" w:cs="仿宋"/>
          <w:sz w:val="32"/>
          <w:szCs w:val="32"/>
          <w:lang w:val="en-US" w:eastAsia="zh-CN"/>
        </w:rPr>
        <w:t>收入</w:t>
      </w:r>
      <w:r>
        <w:rPr>
          <w:rStyle w:val="20"/>
          <w:rFonts w:hint="eastAsia" w:ascii="仿宋" w:hAnsi="仿宋" w:eastAsia="仿宋" w:cs="仿宋"/>
          <w:sz w:val="32"/>
          <w:szCs w:val="32"/>
        </w:rPr>
        <w:t>明细表）</w:t>
      </w:r>
    </w:p>
    <w:tbl>
      <w:tblPr>
        <w:tblStyle w:val="18"/>
        <w:tblpPr w:leftFromText="180" w:rightFromText="180" w:vertAnchor="text" w:horzAnchor="page" w:tblpX="1465" w:tblpY="1122"/>
        <w:tblOverlap w:val="never"/>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4"/>
        <w:gridCol w:w="540"/>
        <w:gridCol w:w="540"/>
        <w:gridCol w:w="4212"/>
        <w:gridCol w:w="1512"/>
        <w:gridCol w:w="1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5916" w:type="dxa"/>
            <w:gridSpan w:val="4"/>
            <w:tcBorders>
              <w:top w:val="single" w:color="000000" w:sz="4" w:space="0"/>
              <w:left w:val="single" w:color="000000" w:sz="4" w:space="0"/>
              <w:bottom w:val="single" w:color="000000" w:sz="4" w:space="0"/>
              <w:right w:val="single" w:color="000000" w:sz="4" w:space="0"/>
              <w:tl2br w:val="nil"/>
              <w:tr2bl w:val="nil"/>
            </w:tcBorders>
            <w:shd w:val="clear" w:color="FFFFFF" w:fill="C0C0C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项目</w:t>
            </w:r>
          </w:p>
        </w:tc>
        <w:tc>
          <w:tcPr>
            <w:tcW w:w="1512" w:type="dxa"/>
            <w:vMerge w:val="restart"/>
            <w:tcBorders>
              <w:top w:val="single" w:color="000000" w:sz="4" w:space="0"/>
              <w:left w:val="nil"/>
              <w:bottom w:val="single" w:color="000000" w:sz="4" w:space="0"/>
              <w:right w:val="single" w:color="000000" w:sz="4" w:space="0"/>
              <w:tl2br w:val="nil"/>
              <w:tr2bl w:val="nil"/>
            </w:tcBorders>
            <w:shd w:val="clear" w:color="FFFFFF" w:fill="C0C0C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本年收入合计</w:t>
            </w:r>
          </w:p>
        </w:tc>
        <w:tc>
          <w:tcPr>
            <w:tcW w:w="1812" w:type="dxa"/>
            <w:vMerge w:val="restart"/>
            <w:tcBorders>
              <w:top w:val="single" w:color="000000" w:sz="4" w:space="0"/>
              <w:left w:val="nil"/>
              <w:bottom w:val="single" w:color="000000" w:sz="4" w:space="0"/>
              <w:right w:val="single" w:color="000000" w:sz="4" w:space="0"/>
              <w:tl2br w:val="nil"/>
              <w:tr2bl w:val="nil"/>
            </w:tcBorders>
            <w:shd w:val="clear" w:color="FFFFFF" w:fill="C0C0C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财政拨款收入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vMerge w:val="restart"/>
            <w:tcBorders>
              <w:top w:val="nil"/>
              <w:left w:val="single" w:color="000000" w:sz="4" w:space="0"/>
              <w:bottom w:val="single" w:color="000000" w:sz="4" w:space="0"/>
              <w:right w:val="single" w:color="000000" w:sz="4" w:space="0"/>
              <w:tl2br w:val="nil"/>
              <w:tr2bl w:val="nil"/>
            </w:tcBorders>
            <w:shd w:val="clear" w:color="FFFFFF" w:fill="C0C0C0"/>
            <w:vAlign w:val="center"/>
          </w:tcPr>
          <w:p>
            <w:pPr>
              <w:widowControl/>
              <w:spacing w:line="240" w:lineRule="auto"/>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支出功能分类科目代码</w:t>
            </w:r>
          </w:p>
        </w:tc>
        <w:tc>
          <w:tcPr>
            <w:tcW w:w="4212" w:type="dxa"/>
            <w:vMerge w:val="restart"/>
            <w:tcBorders>
              <w:top w:val="nil"/>
              <w:left w:val="nil"/>
              <w:bottom w:val="single" w:color="000000" w:sz="4" w:space="0"/>
              <w:right w:val="single" w:color="000000" w:sz="4" w:space="0"/>
              <w:tl2br w:val="nil"/>
              <w:tr2bl w:val="nil"/>
            </w:tcBorders>
            <w:shd w:val="clear" w:color="FFFFFF" w:fill="C0C0C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科目名称</w:t>
            </w:r>
          </w:p>
        </w:tc>
        <w:tc>
          <w:tcPr>
            <w:tcW w:w="1512" w:type="dxa"/>
            <w:vMerge w:val="continue"/>
            <w:tcBorders>
              <w:top w:val="single" w:color="000000" w:sz="4" w:space="0"/>
              <w:left w:val="nil"/>
              <w:bottom w:val="single" w:color="000000" w:sz="4" w:space="0"/>
              <w:right w:val="single" w:color="000000" w:sz="4" w:space="0"/>
              <w:tl2br w:val="nil"/>
              <w:tr2bl w:val="nil"/>
            </w:tcBorders>
            <w:shd w:val="clear" w:color="FFFFFF" w:fill="C0C0C0"/>
            <w:vAlign w:val="center"/>
          </w:tcPr>
          <w:p>
            <w:pPr>
              <w:jc w:val="center"/>
              <w:rPr>
                <w:rFonts w:hint="eastAsia" w:ascii="仿宋" w:hAnsi="仿宋" w:eastAsia="仿宋" w:cs="仿宋"/>
                <w:color w:val="000000"/>
                <w:sz w:val="21"/>
                <w:szCs w:val="21"/>
              </w:rPr>
            </w:pPr>
          </w:p>
        </w:tc>
        <w:tc>
          <w:tcPr>
            <w:tcW w:w="1812" w:type="dxa"/>
            <w:vMerge w:val="continue"/>
            <w:tcBorders>
              <w:top w:val="single" w:color="000000" w:sz="4" w:space="0"/>
              <w:left w:val="nil"/>
              <w:bottom w:val="single" w:color="000000" w:sz="4" w:space="0"/>
              <w:right w:val="single" w:color="000000" w:sz="4" w:space="0"/>
              <w:tl2br w:val="nil"/>
              <w:tr2bl w:val="nil"/>
            </w:tcBorders>
            <w:shd w:val="clear" w:color="FFFFFF" w:fill="C0C0C0"/>
            <w:vAlign w:val="center"/>
          </w:tcPr>
          <w:p>
            <w:pPr>
              <w:jc w:val="center"/>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vMerge w:val="continue"/>
            <w:tcBorders>
              <w:top w:val="nil"/>
              <w:left w:val="single" w:color="000000" w:sz="4" w:space="0"/>
              <w:bottom w:val="single" w:color="000000" w:sz="4" w:space="0"/>
              <w:right w:val="single" w:color="000000" w:sz="4" w:space="0"/>
              <w:tl2br w:val="nil"/>
              <w:tr2bl w:val="nil"/>
            </w:tcBorders>
            <w:shd w:val="clear" w:color="FFFFFF" w:fill="C0C0C0"/>
            <w:vAlign w:val="center"/>
          </w:tcPr>
          <w:p>
            <w:pPr>
              <w:jc w:val="center"/>
              <w:rPr>
                <w:rFonts w:hint="eastAsia" w:ascii="仿宋" w:hAnsi="仿宋" w:eastAsia="仿宋" w:cs="仿宋"/>
                <w:color w:val="000000"/>
                <w:sz w:val="21"/>
                <w:szCs w:val="21"/>
              </w:rPr>
            </w:pPr>
          </w:p>
        </w:tc>
        <w:tc>
          <w:tcPr>
            <w:tcW w:w="4212" w:type="dxa"/>
            <w:vMerge w:val="continue"/>
            <w:tcBorders>
              <w:top w:val="nil"/>
              <w:left w:val="nil"/>
              <w:bottom w:val="single" w:color="000000" w:sz="4" w:space="0"/>
              <w:right w:val="single" w:color="000000" w:sz="4" w:space="0"/>
              <w:tl2br w:val="nil"/>
              <w:tr2bl w:val="nil"/>
            </w:tcBorders>
            <w:shd w:val="clear" w:color="FFFFFF" w:fill="C0C0C0"/>
            <w:vAlign w:val="center"/>
          </w:tcPr>
          <w:p>
            <w:pPr>
              <w:jc w:val="center"/>
              <w:rPr>
                <w:rFonts w:hint="eastAsia" w:ascii="仿宋" w:hAnsi="仿宋" w:eastAsia="仿宋" w:cs="仿宋"/>
                <w:color w:val="000000"/>
                <w:sz w:val="21"/>
                <w:szCs w:val="21"/>
              </w:rPr>
            </w:pPr>
          </w:p>
        </w:tc>
        <w:tc>
          <w:tcPr>
            <w:tcW w:w="1512" w:type="dxa"/>
            <w:vMerge w:val="continue"/>
            <w:tcBorders>
              <w:top w:val="single" w:color="000000" w:sz="4" w:space="0"/>
              <w:left w:val="nil"/>
              <w:bottom w:val="single" w:color="000000" w:sz="4" w:space="0"/>
              <w:right w:val="single" w:color="000000" w:sz="4" w:space="0"/>
              <w:tl2br w:val="nil"/>
              <w:tr2bl w:val="nil"/>
            </w:tcBorders>
            <w:shd w:val="clear" w:color="FFFFFF" w:fill="C0C0C0"/>
            <w:vAlign w:val="center"/>
          </w:tcPr>
          <w:p>
            <w:pPr>
              <w:jc w:val="center"/>
              <w:rPr>
                <w:rFonts w:hint="eastAsia" w:ascii="仿宋" w:hAnsi="仿宋" w:eastAsia="仿宋" w:cs="仿宋"/>
                <w:color w:val="000000"/>
                <w:sz w:val="21"/>
                <w:szCs w:val="21"/>
              </w:rPr>
            </w:pPr>
          </w:p>
        </w:tc>
        <w:tc>
          <w:tcPr>
            <w:tcW w:w="1812" w:type="dxa"/>
            <w:vMerge w:val="continue"/>
            <w:tcBorders>
              <w:top w:val="single" w:color="000000" w:sz="4" w:space="0"/>
              <w:left w:val="nil"/>
              <w:bottom w:val="single" w:color="000000" w:sz="4" w:space="0"/>
              <w:right w:val="single" w:color="000000" w:sz="4" w:space="0"/>
              <w:tl2br w:val="nil"/>
              <w:tr2bl w:val="nil"/>
            </w:tcBorders>
            <w:shd w:val="clear" w:color="FFFFFF" w:fill="C0C0C0"/>
            <w:vAlign w:val="center"/>
          </w:tcPr>
          <w:p>
            <w:pPr>
              <w:jc w:val="center"/>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vMerge w:val="continue"/>
            <w:tcBorders>
              <w:top w:val="nil"/>
              <w:left w:val="single" w:color="000000" w:sz="4" w:space="0"/>
              <w:bottom w:val="single" w:color="000000" w:sz="4" w:space="0"/>
              <w:right w:val="single" w:color="000000" w:sz="4" w:space="0"/>
              <w:tl2br w:val="nil"/>
              <w:tr2bl w:val="nil"/>
            </w:tcBorders>
            <w:shd w:val="clear" w:color="FFFFFF" w:fill="C0C0C0"/>
            <w:vAlign w:val="center"/>
          </w:tcPr>
          <w:p>
            <w:pPr>
              <w:jc w:val="center"/>
              <w:rPr>
                <w:rFonts w:hint="eastAsia" w:ascii="仿宋" w:hAnsi="仿宋" w:eastAsia="仿宋" w:cs="仿宋"/>
                <w:color w:val="000000"/>
                <w:sz w:val="21"/>
                <w:szCs w:val="21"/>
              </w:rPr>
            </w:pPr>
          </w:p>
        </w:tc>
        <w:tc>
          <w:tcPr>
            <w:tcW w:w="4212" w:type="dxa"/>
            <w:vMerge w:val="continue"/>
            <w:tcBorders>
              <w:top w:val="nil"/>
              <w:left w:val="nil"/>
              <w:bottom w:val="single" w:color="000000" w:sz="4" w:space="0"/>
              <w:right w:val="single" w:color="000000" w:sz="4" w:space="0"/>
              <w:tl2br w:val="nil"/>
              <w:tr2bl w:val="nil"/>
            </w:tcBorders>
            <w:shd w:val="clear" w:color="FFFFFF" w:fill="C0C0C0"/>
            <w:vAlign w:val="center"/>
          </w:tcPr>
          <w:p>
            <w:pPr>
              <w:jc w:val="center"/>
              <w:rPr>
                <w:rFonts w:hint="eastAsia" w:ascii="仿宋" w:hAnsi="仿宋" w:eastAsia="仿宋" w:cs="仿宋"/>
                <w:color w:val="000000"/>
                <w:sz w:val="21"/>
                <w:szCs w:val="21"/>
              </w:rPr>
            </w:pPr>
          </w:p>
        </w:tc>
        <w:tc>
          <w:tcPr>
            <w:tcW w:w="1512" w:type="dxa"/>
            <w:vMerge w:val="continue"/>
            <w:tcBorders>
              <w:top w:val="single" w:color="000000" w:sz="4" w:space="0"/>
              <w:left w:val="nil"/>
              <w:bottom w:val="single" w:color="000000" w:sz="4" w:space="0"/>
              <w:right w:val="single" w:color="000000" w:sz="4" w:space="0"/>
              <w:tl2br w:val="nil"/>
              <w:tr2bl w:val="nil"/>
            </w:tcBorders>
            <w:shd w:val="clear" w:color="FFFFFF" w:fill="C0C0C0"/>
            <w:vAlign w:val="center"/>
          </w:tcPr>
          <w:p>
            <w:pPr>
              <w:jc w:val="center"/>
              <w:rPr>
                <w:rFonts w:hint="eastAsia" w:ascii="仿宋" w:hAnsi="仿宋" w:eastAsia="仿宋" w:cs="仿宋"/>
                <w:color w:val="000000"/>
                <w:sz w:val="21"/>
                <w:szCs w:val="21"/>
              </w:rPr>
            </w:pPr>
          </w:p>
        </w:tc>
        <w:tc>
          <w:tcPr>
            <w:tcW w:w="1812" w:type="dxa"/>
            <w:vMerge w:val="continue"/>
            <w:tcBorders>
              <w:top w:val="single" w:color="000000" w:sz="4" w:space="0"/>
              <w:left w:val="nil"/>
              <w:bottom w:val="single" w:color="000000" w:sz="4" w:space="0"/>
              <w:right w:val="single" w:color="000000" w:sz="4" w:space="0"/>
              <w:tl2br w:val="nil"/>
              <w:tr2bl w:val="nil"/>
            </w:tcBorders>
            <w:shd w:val="clear" w:color="FFFFFF" w:fill="C0C0C0"/>
            <w:vAlign w:val="center"/>
          </w:tcPr>
          <w:p>
            <w:pPr>
              <w:jc w:val="center"/>
              <w:rPr>
                <w:rFonts w:hint="eastAsia" w:ascii="仿宋" w:hAnsi="仿宋" w:eastAsia="仿宋" w:cs="仿宋"/>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624" w:type="dxa"/>
            <w:vMerge w:val="restart"/>
            <w:tcBorders>
              <w:top w:val="nil"/>
              <w:left w:val="single" w:color="000000" w:sz="4" w:space="0"/>
              <w:bottom w:val="single" w:color="000000" w:sz="4" w:space="0"/>
              <w:right w:val="single" w:color="000000" w:sz="4" w:space="0"/>
              <w:tl2br w:val="nil"/>
              <w:tr2bl w:val="nil"/>
            </w:tcBorders>
            <w:shd w:val="clear" w:color="FFFFFF" w:fill="C0C0C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类</w:t>
            </w:r>
          </w:p>
        </w:tc>
        <w:tc>
          <w:tcPr>
            <w:tcW w:w="540" w:type="dxa"/>
            <w:vMerge w:val="restart"/>
            <w:tcBorders>
              <w:top w:val="nil"/>
              <w:left w:val="nil"/>
              <w:bottom w:val="single" w:color="000000" w:sz="4" w:space="0"/>
              <w:right w:val="single" w:color="000000" w:sz="4" w:space="0"/>
              <w:tl2br w:val="nil"/>
              <w:tr2bl w:val="nil"/>
            </w:tcBorders>
            <w:shd w:val="clear" w:color="FFFFFF" w:fill="C0C0C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款</w:t>
            </w:r>
          </w:p>
        </w:tc>
        <w:tc>
          <w:tcPr>
            <w:tcW w:w="540" w:type="dxa"/>
            <w:vMerge w:val="restart"/>
            <w:tcBorders>
              <w:top w:val="nil"/>
              <w:left w:val="nil"/>
              <w:bottom w:val="single" w:color="000000" w:sz="4" w:space="0"/>
              <w:right w:val="single" w:color="000000" w:sz="4" w:space="0"/>
              <w:tl2br w:val="nil"/>
              <w:tr2bl w:val="nil"/>
            </w:tcBorders>
            <w:shd w:val="clear" w:color="FFFFFF" w:fill="C0C0C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项</w:t>
            </w:r>
          </w:p>
        </w:tc>
        <w:tc>
          <w:tcPr>
            <w:tcW w:w="4212" w:type="dxa"/>
            <w:tcBorders>
              <w:top w:val="nil"/>
              <w:left w:val="nil"/>
              <w:bottom w:val="single" w:color="000000" w:sz="4" w:space="0"/>
              <w:right w:val="single" w:color="000000" w:sz="4" w:space="0"/>
              <w:tl2br w:val="nil"/>
              <w:tr2bl w:val="nil"/>
            </w:tcBorders>
            <w:shd w:val="clear" w:color="FFFFFF" w:fill="C0C0C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栏次</w:t>
            </w:r>
          </w:p>
        </w:tc>
        <w:tc>
          <w:tcPr>
            <w:tcW w:w="1512" w:type="dxa"/>
            <w:tcBorders>
              <w:top w:val="nil"/>
              <w:left w:val="nil"/>
              <w:bottom w:val="single" w:color="000000" w:sz="4" w:space="0"/>
              <w:right w:val="single" w:color="000000" w:sz="4" w:space="0"/>
              <w:tl2br w:val="nil"/>
              <w:tr2bl w:val="nil"/>
            </w:tcBorders>
            <w:shd w:val="clear" w:color="FFFFFF" w:fill="C0C0C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w:t>
            </w:r>
          </w:p>
        </w:tc>
        <w:tc>
          <w:tcPr>
            <w:tcW w:w="1812" w:type="dxa"/>
            <w:tcBorders>
              <w:top w:val="nil"/>
              <w:left w:val="nil"/>
              <w:bottom w:val="single" w:color="000000" w:sz="4" w:space="0"/>
              <w:right w:val="single" w:color="000000" w:sz="4" w:space="0"/>
              <w:tl2br w:val="nil"/>
              <w:tr2bl w:val="nil"/>
            </w:tcBorders>
            <w:shd w:val="clear" w:color="FFFFFF" w:fill="C0C0C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624" w:type="dxa"/>
            <w:vMerge w:val="continue"/>
            <w:tcBorders>
              <w:top w:val="nil"/>
              <w:left w:val="single" w:color="000000" w:sz="4" w:space="0"/>
              <w:bottom w:val="single" w:color="000000" w:sz="4" w:space="0"/>
              <w:right w:val="single" w:color="000000" w:sz="4" w:space="0"/>
              <w:tl2br w:val="nil"/>
              <w:tr2bl w:val="nil"/>
            </w:tcBorders>
            <w:shd w:val="clear" w:color="FFFFFF" w:fill="C0C0C0"/>
            <w:vAlign w:val="center"/>
          </w:tcPr>
          <w:p>
            <w:pPr>
              <w:jc w:val="center"/>
              <w:rPr>
                <w:rFonts w:hint="eastAsia" w:ascii="仿宋" w:hAnsi="仿宋" w:eastAsia="仿宋" w:cs="仿宋"/>
                <w:color w:val="000000"/>
                <w:sz w:val="21"/>
                <w:szCs w:val="21"/>
              </w:rPr>
            </w:pPr>
          </w:p>
        </w:tc>
        <w:tc>
          <w:tcPr>
            <w:tcW w:w="540" w:type="dxa"/>
            <w:vMerge w:val="continue"/>
            <w:tcBorders>
              <w:top w:val="nil"/>
              <w:left w:val="nil"/>
              <w:bottom w:val="single" w:color="000000" w:sz="4" w:space="0"/>
              <w:right w:val="single" w:color="000000" w:sz="4" w:space="0"/>
              <w:tl2br w:val="nil"/>
              <w:tr2bl w:val="nil"/>
            </w:tcBorders>
            <w:shd w:val="clear" w:color="FFFFFF" w:fill="C0C0C0"/>
            <w:vAlign w:val="center"/>
          </w:tcPr>
          <w:p>
            <w:pPr>
              <w:jc w:val="center"/>
              <w:rPr>
                <w:rFonts w:hint="eastAsia" w:ascii="仿宋" w:hAnsi="仿宋" w:eastAsia="仿宋" w:cs="仿宋"/>
                <w:color w:val="000000"/>
                <w:sz w:val="21"/>
                <w:szCs w:val="21"/>
              </w:rPr>
            </w:pPr>
          </w:p>
        </w:tc>
        <w:tc>
          <w:tcPr>
            <w:tcW w:w="540" w:type="dxa"/>
            <w:vMerge w:val="continue"/>
            <w:tcBorders>
              <w:top w:val="nil"/>
              <w:left w:val="nil"/>
              <w:bottom w:val="single" w:color="000000" w:sz="4" w:space="0"/>
              <w:right w:val="single" w:color="000000" w:sz="4" w:space="0"/>
              <w:tl2br w:val="nil"/>
              <w:tr2bl w:val="nil"/>
            </w:tcBorders>
            <w:shd w:val="clear" w:color="FFFFFF" w:fill="C0C0C0"/>
            <w:vAlign w:val="center"/>
          </w:tcPr>
          <w:p>
            <w:pPr>
              <w:jc w:val="center"/>
              <w:rPr>
                <w:rFonts w:hint="eastAsia" w:ascii="仿宋" w:hAnsi="仿宋" w:eastAsia="仿宋" w:cs="仿宋"/>
                <w:color w:val="000000"/>
                <w:sz w:val="21"/>
                <w:szCs w:val="21"/>
              </w:rPr>
            </w:pPr>
          </w:p>
        </w:tc>
        <w:tc>
          <w:tcPr>
            <w:tcW w:w="4212" w:type="dxa"/>
            <w:tcBorders>
              <w:top w:val="nil"/>
              <w:left w:val="nil"/>
              <w:bottom w:val="single" w:color="000000" w:sz="4" w:space="0"/>
              <w:right w:val="single" w:color="000000" w:sz="4" w:space="0"/>
              <w:tl2br w:val="nil"/>
              <w:tr2bl w:val="nil"/>
            </w:tcBorders>
            <w:shd w:val="clear" w:color="FFFFFF" w:fill="C0C0C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合计</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436.85</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436.85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201</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一般公共服务支出</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375.48</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375.48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20129</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群众团体事务</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375.48</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375.48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2012901</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行政运行</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223.89</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223.89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2012999</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其他群众团体事务支出</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151.59</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151.59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208</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社会保障和就业支出</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32.35</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20805</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行政事业单位养老支出</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31.57</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31.57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2080505</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机关事业单位基本养老保险缴费支出</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27.44</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2080599</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其他行政事业单位养老支出</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4.12</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20808</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抚恤</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0.78</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2080801</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死亡抚恤</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0.78</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210</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卫生健康支出</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12.36</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21011</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行政事业单位医疗</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12.36</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2101101</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行政单位医疗</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5.70</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2101102</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事业单位医疗</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6.06</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2101103</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公务员医疗补助</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0.60</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221</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住房保障支出</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16.66</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22102</w:t>
            </w:r>
          </w:p>
        </w:tc>
        <w:tc>
          <w:tcPr>
            <w:tcW w:w="4212" w:type="dxa"/>
            <w:tcBorders>
              <w:top w:val="nil"/>
              <w:left w:val="nil"/>
              <w:bottom w:val="single" w:color="000000" w:sz="4"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住房改革支出</w:t>
            </w:r>
          </w:p>
        </w:tc>
        <w:tc>
          <w:tcPr>
            <w:tcW w:w="15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16.66</w:t>
            </w:r>
          </w:p>
        </w:tc>
        <w:tc>
          <w:tcPr>
            <w:tcW w:w="1812" w:type="dxa"/>
            <w:tcBorders>
              <w:top w:val="nil"/>
              <w:left w:val="nil"/>
              <w:bottom w:val="single" w:color="000000" w:sz="4"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704" w:type="dxa"/>
            <w:gridSpan w:val="3"/>
            <w:tcBorders>
              <w:top w:val="nil"/>
              <w:left w:val="single" w:color="000000" w:sz="4" w:space="0"/>
              <w:bottom w:val="single" w:color="000000" w:sz="8"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2210201</w:t>
            </w:r>
          </w:p>
        </w:tc>
        <w:tc>
          <w:tcPr>
            <w:tcW w:w="4212" w:type="dxa"/>
            <w:tcBorders>
              <w:top w:val="nil"/>
              <w:left w:val="nil"/>
              <w:bottom w:val="single" w:color="000000" w:sz="8" w:space="0"/>
              <w:right w:val="single" w:color="000000" w:sz="4" w:space="0"/>
              <w:tl2br w:val="nil"/>
              <w:tr2bl w:val="nil"/>
            </w:tcBorders>
            <w:vAlign w:val="center"/>
          </w:tcPr>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 xml:space="preserve">  住房公积金</w:t>
            </w:r>
          </w:p>
        </w:tc>
        <w:tc>
          <w:tcPr>
            <w:tcW w:w="1512" w:type="dxa"/>
            <w:tcBorders>
              <w:top w:val="nil"/>
              <w:left w:val="nil"/>
              <w:bottom w:val="single" w:color="000000" w:sz="8"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16.66</w:t>
            </w:r>
          </w:p>
        </w:tc>
        <w:tc>
          <w:tcPr>
            <w:tcW w:w="1812" w:type="dxa"/>
            <w:tcBorders>
              <w:top w:val="nil"/>
              <w:left w:val="nil"/>
              <w:bottom w:val="single" w:color="000000" w:sz="8" w:space="0"/>
              <w:right w:val="single" w:color="000000" w:sz="4" w:space="0"/>
              <w:tl2br w:val="nil"/>
              <w:tr2bl w:val="nil"/>
            </w:tcBorders>
            <w:vAlign w:val="center"/>
          </w:tcPr>
          <w:p>
            <w:pPr>
              <w:widowControl/>
              <w:jc w:val="right"/>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bidi="ar"/>
              </w:rPr>
              <w:t>16.66</w:t>
            </w:r>
          </w:p>
        </w:tc>
      </w:tr>
    </w:tbl>
    <w:p>
      <w:pPr>
        <w:widowControl/>
        <w:autoSpaceDE/>
        <w:autoSpaceDN/>
        <w:snapToGrid w:val="0"/>
        <w:spacing w:line="578" w:lineRule="exact"/>
        <w:jc w:val="both"/>
        <w:rPr>
          <w:rFonts w:hint="eastAsia" w:ascii="黑体" w:hAnsi="黑体" w:eastAsia="黑体" w:cs="黑体"/>
          <w:color w:val="000000"/>
          <w:sz w:val="32"/>
          <w:szCs w:val="32"/>
          <w:shd w:val="clear" w:color="auto" w:fill="FFFFFF"/>
        </w:rPr>
      </w:pPr>
    </w:p>
    <w:p>
      <w:pPr>
        <w:widowControl/>
        <w:autoSpaceDE/>
        <w:autoSpaceDN/>
        <w:snapToGrid w:val="0"/>
        <w:spacing w:line="578" w:lineRule="exact"/>
        <w:ind w:firstLine="640" w:firstLineChars="200"/>
        <w:jc w:val="both"/>
        <w:rPr>
          <w:rFonts w:hint="eastAsia" w:ascii="黑体" w:hAnsi="黑体" w:eastAsia="黑体" w:cs="黑体"/>
          <w:color w:val="000000"/>
          <w:sz w:val="32"/>
          <w:szCs w:val="32"/>
          <w:shd w:val="clear" w:color="auto" w:fill="FFFFFF"/>
        </w:rPr>
      </w:pPr>
    </w:p>
    <w:p>
      <w:pPr>
        <w:widowControl/>
        <w:autoSpaceDE/>
        <w:autoSpaceDN/>
        <w:snapToGrid w:val="0"/>
        <w:spacing w:line="578" w:lineRule="exact"/>
        <w:ind w:firstLine="640" w:firstLineChars="200"/>
        <w:jc w:val="both"/>
        <w:outlineLvl w:val="1"/>
        <w:rPr>
          <w:rFonts w:hint="eastAsia" w:ascii="黑体" w:hAnsi="黑体" w:eastAsia="黑体" w:cs="黑体"/>
          <w:color w:val="000000"/>
          <w:sz w:val="32"/>
          <w:szCs w:val="32"/>
          <w:shd w:val="clear" w:color="auto" w:fill="FFFFFF"/>
        </w:rPr>
      </w:pPr>
      <w:bookmarkStart w:id="25" w:name="_Toc32058"/>
      <w:bookmarkStart w:id="26" w:name="_Toc9826"/>
      <w:r>
        <w:rPr>
          <w:rFonts w:hint="eastAsia" w:ascii="黑体" w:hAnsi="黑体" w:eastAsia="黑体" w:cs="黑体"/>
          <w:color w:val="000000"/>
          <w:sz w:val="32"/>
          <w:szCs w:val="32"/>
          <w:shd w:val="clear" w:color="auto" w:fill="FFFFFF"/>
        </w:rPr>
        <w:t>三、部门财政支出管理情况</w:t>
      </w:r>
      <w:bookmarkEnd w:id="25"/>
      <w:bookmarkEnd w:id="26"/>
    </w:p>
    <w:p>
      <w:pPr>
        <w:widowControl/>
        <w:autoSpaceDE/>
        <w:autoSpaceDN/>
        <w:snapToGrid w:val="0"/>
        <w:spacing w:line="560" w:lineRule="exact"/>
        <w:ind w:firstLine="643" w:firstLineChars="200"/>
        <w:jc w:val="both"/>
        <w:rPr>
          <w:rFonts w:hint="eastAsia" w:ascii="方正楷体简体" w:hAnsi="方正楷体简体" w:eastAsia="方正楷体简体" w:cs="方正楷体简体"/>
          <w:b/>
          <w:color w:val="000000"/>
          <w:sz w:val="32"/>
          <w:szCs w:val="32"/>
          <w:shd w:val="clear" w:color="auto" w:fill="FFFFFF"/>
          <w:lang w:val="zh-CN"/>
        </w:rPr>
      </w:pPr>
      <w:r>
        <w:rPr>
          <w:rFonts w:hint="eastAsia" w:ascii="方正楷体简体" w:hAnsi="方正楷体简体" w:eastAsia="方正楷体简体" w:cs="方正楷体简体"/>
          <w:b/>
          <w:color w:val="000000"/>
          <w:sz w:val="32"/>
          <w:szCs w:val="32"/>
          <w:shd w:val="clear" w:color="auto" w:fill="FFFFFF"/>
          <w:lang w:val="zh-CN"/>
        </w:rPr>
        <w:t>（一）预决算编制情况。</w:t>
      </w: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2022</w:t>
      </w:r>
      <w:r>
        <w:rPr>
          <w:rFonts w:hint="eastAsia" w:ascii="仿宋" w:hAnsi="仿宋" w:eastAsia="仿宋" w:cs="仿宋"/>
          <w:color w:val="000000"/>
          <w:sz w:val="32"/>
          <w:szCs w:val="32"/>
        </w:rPr>
        <w:t>年12月，严格按照《中华人民共和国预算法</w:t>
      </w:r>
      <w:r>
        <w:rPr>
          <w:rFonts w:hint="eastAsia" w:ascii="仿宋" w:hAnsi="仿宋" w:cs="仿宋"/>
          <w:color w:val="000000"/>
          <w:sz w:val="32"/>
          <w:szCs w:val="32"/>
          <w:lang w:eastAsia="zh-CN"/>
        </w:rPr>
        <w:t>》《</w:t>
      </w:r>
      <w:r>
        <w:rPr>
          <w:rFonts w:hint="eastAsia" w:ascii="仿宋" w:hAnsi="仿宋" w:eastAsia="仿宋" w:cs="仿宋"/>
          <w:color w:val="000000"/>
          <w:sz w:val="32"/>
          <w:szCs w:val="32"/>
        </w:rPr>
        <w:t>中华人民共和国预算法实施条例》及《</w:t>
      </w:r>
      <w:r>
        <w:rPr>
          <w:rFonts w:hint="eastAsia" w:ascii="仿宋" w:hAnsi="仿宋" w:eastAsia="仿宋" w:cs="仿宋"/>
          <w:color w:val="000000"/>
          <w:sz w:val="32"/>
          <w:szCs w:val="32"/>
          <w:lang w:val="en-US" w:eastAsia="zh-CN"/>
        </w:rPr>
        <w:t>泸</w:t>
      </w:r>
      <w:r>
        <w:rPr>
          <w:rFonts w:hint="eastAsia" w:ascii="仿宋" w:hAnsi="仿宋" w:eastAsia="仿宋" w:cs="仿宋"/>
          <w:color w:val="000000"/>
          <w:sz w:val="32"/>
          <w:szCs w:val="32"/>
          <w:lang w:eastAsia="zh-CN"/>
        </w:rPr>
        <w:t>县2022</w:t>
      </w:r>
      <w:r>
        <w:rPr>
          <w:rFonts w:hint="eastAsia" w:ascii="仿宋" w:hAnsi="仿宋" w:eastAsia="仿宋" w:cs="仿宋"/>
          <w:color w:val="000000"/>
          <w:sz w:val="32"/>
          <w:szCs w:val="32"/>
        </w:rPr>
        <w:t>年县本级部门预算编制方法和口径》等预算编制的</w:t>
      </w:r>
      <w:r>
        <w:rPr>
          <w:rFonts w:hint="eastAsia" w:ascii="仿宋" w:hAnsi="仿宋" w:cs="仿宋"/>
          <w:color w:val="000000"/>
          <w:sz w:val="32"/>
          <w:szCs w:val="32"/>
          <w:lang w:eastAsia="zh-CN"/>
        </w:rPr>
        <w:t>法律法规</w:t>
      </w:r>
      <w:r>
        <w:rPr>
          <w:rFonts w:hint="eastAsia" w:ascii="仿宋" w:hAnsi="仿宋" w:eastAsia="仿宋" w:cs="仿宋"/>
          <w:color w:val="000000"/>
          <w:sz w:val="32"/>
          <w:szCs w:val="32"/>
        </w:rPr>
        <w:t>，以</w:t>
      </w:r>
      <w:r>
        <w:rPr>
          <w:rFonts w:hint="eastAsia" w:ascii="仿宋" w:hAnsi="仿宋" w:eastAsia="仿宋" w:cs="仿宋"/>
          <w:color w:val="000000"/>
          <w:sz w:val="32"/>
          <w:szCs w:val="32"/>
          <w:lang w:eastAsia="zh-CN"/>
        </w:rPr>
        <w:t>2022</w:t>
      </w:r>
      <w:r>
        <w:rPr>
          <w:rFonts w:hint="eastAsia" w:ascii="仿宋" w:hAnsi="仿宋" w:eastAsia="仿宋" w:cs="仿宋"/>
          <w:color w:val="000000"/>
          <w:sz w:val="32"/>
          <w:szCs w:val="32"/>
        </w:rPr>
        <w:t>年12月31日为基本支出预算编制基准期。基本支出预算包括人员经费和日常公用经费两部分，采取人员经费按标准、公用经费按定额编制的方法，结合我实际和工作计划，认真开展我中心的预算编制工作，人员经费预算按照县人力资源和社会保障局工资福利股审核过的工资进行编制，切实做到数据完整准确。</w:t>
      </w:r>
      <w:r>
        <w:rPr>
          <w:rFonts w:hint="eastAsia" w:ascii="仿宋" w:hAnsi="仿宋" w:eastAsia="仿宋" w:cs="仿宋"/>
          <w:color w:val="000000"/>
          <w:sz w:val="32"/>
          <w:szCs w:val="32"/>
          <w:lang w:eastAsia="zh-CN"/>
        </w:rPr>
        <w:t>2022</w:t>
      </w:r>
      <w:r>
        <w:rPr>
          <w:rFonts w:hint="eastAsia" w:ascii="仿宋" w:hAnsi="仿宋" w:eastAsia="仿宋" w:cs="仿宋"/>
          <w:color w:val="000000"/>
          <w:sz w:val="32"/>
          <w:szCs w:val="32"/>
        </w:rPr>
        <w:t>年会计核算符合《中华人民共和国会计法》和相关财务规定，资金使用按照国家财经法规和机关财务管理制度的规定收支，年</w:t>
      </w:r>
      <w:r>
        <w:rPr>
          <w:rFonts w:hint="eastAsia" w:ascii="仿宋" w:hAnsi="仿宋" w:eastAsia="仿宋" w:cs="仿宋"/>
          <w:sz w:val="32"/>
          <w:szCs w:val="32"/>
        </w:rPr>
        <w:t>末严格按照财政决算编制规定和要求，按时完成决算编制工作。对项目资金的预算，提出具体的项目目标和实施计划，细化项目支出内容，精准编制项目支出绩</w:t>
      </w:r>
      <w:r>
        <w:rPr>
          <w:rFonts w:hint="eastAsia" w:ascii="仿宋" w:hAnsi="仿宋" w:eastAsia="仿宋" w:cs="仿宋"/>
          <w:color w:val="000000"/>
          <w:sz w:val="32"/>
          <w:szCs w:val="32"/>
        </w:rPr>
        <w:t>效目标情况表，提供准确的项目支撑依据，切实做到项目资金编制的合理化、人性化，并在规定的时限内完整、准确</w:t>
      </w:r>
      <w:r>
        <w:rPr>
          <w:rFonts w:hint="eastAsia" w:ascii="仿宋" w:hAnsi="仿宋" w:cs="仿宋"/>
          <w:color w:val="000000"/>
          <w:sz w:val="32"/>
          <w:szCs w:val="32"/>
          <w:lang w:eastAsia="zh-CN"/>
        </w:rPr>
        <w:t>地</w:t>
      </w:r>
      <w:r>
        <w:rPr>
          <w:rFonts w:hint="eastAsia" w:ascii="仿宋" w:hAnsi="仿宋" w:eastAsia="仿宋" w:cs="仿宋"/>
          <w:color w:val="000000"/>
          <w:sz w:val="32"/>
          <w:szCs w:val="32"/>
        </w:rPr>
        <w:t>报送到县级财政部门，为全县预算编制工作的按时完成打下基础。</w:t>
      </w:r>
    </w:p>
    <w:p>
      <w:pPr>
        <w:keepNext w:val="0"/>
        <w:keepLines w:val="0"/>
        <w:pageBreakBefore w:val="0"/>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2022</w:t>
      </w:r>
      <w:r>
        <w:rPr>
          <w:rFonts w:hint="eastAsia" w:ascii="仿宋" w:hAnsi="仿宋" w:eastAsia="仿宋" w:cs="仿宋"/>
          <w:sz w:val="32"/>
          <w:szCs w:val="32"/>
          <w:lang w:val="en-US" w:eastAsia="zh-CN"/>
        </w:rPr>
        <w:t>年泸</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总工会</w:t>
      </w:r>
      <w:r>
        <w:rPr>
          <w:rFonts w:hint="eastAsia" w:ascii="仿宋" w:hAnsi="仿宋" w:eastAsia="仿宋" w:cs="仿宋"/>
          <w:sz w:val="32"/>
          <w:szCs w:val="32"/>
        </w:rPr>
        <w:t>收入决算总计为436.85万元，</w:t>
      </w:r>
      <w:r>
        <w:rPr>
          <w:rFonts w:hint="eastAsia" w:ascii="仿宋" w:hAnsi="仿宋" w:eastAsia="仿宋" w:cs="仿宋"/>
          <w:sz w:val="32"/>
          <w:szCs w:val="32"/>
          <w:lang w:val="en-US" w:eastAsia="zh-CN"/>
        </w:rPr>
        <w:t>上年</w:t>
      </w:r>
      <w:r>
        <w:rPr>
          <w:rFonts w:hint="eastAsia" w:ascii="仿宋" w:hAnsi="仿宋" w:eastAsia="仿宋" w:cs="仿宋"/>
          <w:sz w:val="32"/>
          <w:szCs w:val="32"/>
        </w:rPr>
        <w:t>结转结余</w:t>
      </w:r>
      <w:r>
        <w:rPr>
          <w:rFonts w:hint="eastAsia" w:ascii="仿宋" w:hAnsi="仿宋" w:eastAsia="仿宋" w:cs="仿宋"/>
          <w:sz w:val="32"/>
          <w:szCs w:val="32"/>
          <w:lang w:val="en-US" w:eastAsia="zh-CN"/>
        </w:rPr>
        <w:t>10.89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当年支出</w:t>
      </w:r>
      <w:r>
        <w:rPr>
          <w:rFonts w:hint="eastAsia" w:ascii="仿宋" w:hAnsi="仿宋" w:eastAsia="仿宋" w:cs="仿宋"/>
          <w:sz w:val="32"/>
          <w:szCs w:val="32"/>
          <w:lang w:val="en-US" w:eastAsia="zh-CN"/>
        </w:rPr>
        <w:t>决算447.74</w:t>
      </w:r>
      <w:r>
        <w:rPr>
          <w:rFonts w:hint="eastAsia" w:ascii="仿宋" w:hAnsi="仿宋" w:eastAsia="仿宋" w:cs="仿宋"/>
          <w:sz w:val="32"/>
          <w:szCs w:val="32"/>
        </w:rPr>
        <w:t>万元。</w:t>
      </w:r>
    </w:p>
    <w:p>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left="0" w:leftChars="0" w:firstLine="643" w:firstLineChars="0"/>
        <w:jc w:val="both"/>
        <w:textAlignment w:val="auto"/>
        <w:rPr>
          <w:rFonts w:hint="eastAsia" w:ascii="仿宋" w:hAnsi="仿宋" w:eastAsia="仿宋" w:cs="仿宋"/>
          <w:color w:val="000000"/>
          <w:sz w:val="32"/>
          <w:szCs w:val="32"/>
          <w:shd w:val="clear" w:color="auto" w:fill="FFFFFF"/>
          <w:lang w:val="zh-CN"/>
        </w:rPr>
      </w:pPr>
      <w:r>
        <w:rPr>
          <w:rFonts w:hint="eastAsia" w:ascii="方正楷体简体" w:hAnsi="方正楷体简体" w:eastAsia="方正楷体简体" w:cs="方正楷体简体"/>
          <w:b/>
          <w:color w:val="000000"/>
          <w:sz w:val="32"/>
          <w:szCs w:val="32"/>
          <w:shd w:val="clear" w:color="auto" w:fill="FFFFFF"/>
          <w:lang w:val="zh-CN"/>
        </w:rPr>
        <w:t>执行管理情况。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jc w:val="both"/>
        <w:textAlignment w:val="auto"/>
        <w:rPr>
          <w:rFonts w:hint="eastAsia"/>
          <w:lang w:val="zh-CN"/>
        </w:rPr>
      </w:pPr>
      <w:r>
        <w:rPr>
          <w:rFonts w:hint="eastAsia" w:ascii="仿宋" w:hAnsi="仿宋" w:eastAsia="仿宋" w:cs="仿宋"/>
          <w:color w:val="000000"/>
          <w:sz w:val="32"/>
          <w:szCs w:val="32"/>
        </w:rPr>
        <w:t>在资金的支出执行上严格按照预算执行，严格按照先有预算，后有支出的原则，在收到财政下达的各项指标后，按照资金用途，在把好审核关的基础上，按时足额支付各项费用。</w:t>
      </w:r>
    </w:p>
    <w:p>
      <w:pPr>
        <w:widowControl/>
        <w:autoSpaceDE/>
        <w:autoSpaceDN/>
        <w:snapToGrid w:val="0"/>
        <w:spacing w:line="560" w:lineRule="exact"/>
        <w:ind w:firstLine="643" w:firstLineChars="200"/>
        <w:jc w:val="both"/>
        <w:rPr>
          <w:rFonts w:hint="eastAsia" w:ascii="方正楷体简体" w:hAnsi="方正楷体简体" w:eastAsia="方正楷体简体" w:cs="方正楷体简体"/>
          <w:b/>
          <w:color w:val="000000"/>
          <w:sz w:val="32"/>
          <w:szCs w:val="32"/>
          <w:shd w:val="clear" w:color="auto" w:fill="FFFFFF"/>
          <w:lang w:val="zh-CN"/>
        </w:rPr>
      </w:pPr>
      <w:r>
        <w:rPr>
          <w:rFonts w:hint="eastAsia" w:ascii="方正楷体简体" w:hAnsi="方正楷体简体" w:eastAsia="方正楷体简体" w:cs="方正楷体简体"/>
          <w:b/>
          <w:color w:val="000000"/>
          <w:sz w:val="32"/>
          <w:szCs w:val="32"/>
          <w:shd w:val="clear" w:color="auto" w:fill="FFFFFF"/>
          <w:lang w:val="zh-CN"/>
        </w:rPr>
        <w:t>（三）支出绩效情况。</w:t>
      </w:r>
    </w:p>
    <w:p>
      <w:pPr>
        <w:widowControl/>
        <w:autoSpaceDE/>
        <w:autoSpaceDN/>
        <w:snapToGrid w:val="0"/>
        <w:spacing w:line="560" w:lineRule="exact"/>
        <w:ind w:firstLine="643" w:firstLineChars="200"/>
        <w:jc w:val="both"/>
        <w:rPr>
          <w:rFonts w:hint="eastAsia" w:ascii="仿宋" w:hAnsi="仿宋" w:eastAsia="仿宋" w:cs="仿宋"/>
          <w:b/>
          <w:color w:val="000000"/>
          <w:sz w:val="32"/>
          <w:szCs w:val="32"/>
          <w:shd w:val="clear" w:color="auto" w:fill="FFFFFF"/>
          <w:lang w:val="zh-CN"/>
        </w:rPr>
      </w:pPr>
      <w:r>
        <w:rPr>
          <w:rFonts w:hint="eastAsia" w:ascii="仿宋" w:hAnsi="仿宋" w:eastAsia="仿宋" w:cs="仿宋"/>
          <w:b/>
          <w:color w:val="000000"/>
          <w:sz w:val="32"/>
          <w:szCs w:val="32"/>
          <w:shd w:val="clear" w:color="auto" w:fill="FFFFFF"/>
          <w:lang w:val="zh-CN"/>
        </w:rPr>
        <w:t>1</w:t>
      </w:r>
      <w:r>
        <w:rPr>
          <w:rFonts w:hint="eastAsia" w:ascii="仿宋" w:hAnsi="仿宋" w:cs="仿宋"/>
          <w:b/>
          <w:color w:val="000000"/>
          <w:sz w:val="32"/>
          <w:szCs w:val="32"/>
          <w:shd w:val="clear" w:color="auto" w:fill="FFFFFF"/>
          <w:lang w:val="en-US" w:eastAsia="zh-CN"/>
        </w:rPr>
        <w:t>.</w:t>
      </w:r>
      <w:r>
        <w:rPr>
          <w:rFonts w:hint="eastAsia" w:ascii="仿宋" w:hAnsi="仿宋" w:eastAsia="仿宋" w:cs="仿宋"/>
          <w:b/>
          <w:color w:val="000000"/>
          <w:sz w:val="32"/>
          <w:szCs w:val="32"/>
          <w:shd w:val="clear" w:color="auto" w:fill="FFFFFF"/>
          <w:lang w:val="zh-CN"/>
        </w:rPr>
        <w:t>部门支出绩效</w:t>
      </w:r>
    </w:p>
    <w:p>
      <w:pPr>
        <w:bidi w:val="0"/>
        <w:ind w:firstLine="640" w:firstLineChars="200"/>
        <w:rPr>
          <w:rFonts w:hint="eastAsia"/>
          <w:lang w:val="zh-CN"/>
        </w:rPr>
      </w:pPr>
      <w:r>
        <w:rPr>
          <w:rFonts w:hint="eastAsia"/>
          <w:lang w:val="zh-CN"/>
        </w:rPr>
        <w:t>（1）行政运转保障</w:t>
      </w:r>
    </w:p>
    <w:p>
      <w:pPr>
        <w:bidi w:val="0"/>
        <w:ind w:firstLine="640" w:firstLineChars="200"/>
        <w:rPr>
          <w:rFonts w:hint="eastAsia"/>
        </w:rPr>
      </w:pPr>
      <w:r>
        <w:rPr>
          <w:rFonts w:hint="eastAsia"/>
          <w:lang w:eastAsia="zh-CN"/>
        </w:rPr>
        <w:t>泸县总工会</w:t>
      </w:r>
      <w:r>
        <w:rPr>
          <w:rFonts w:hint="eastAsia"/>
        </w:rPr>
        <w:t>严格遵守各项财经纪律，加强单位财务管理工作，细化预算编制，严格按照预算执行，确保财务收支平衡，保障单位工作正常运转和各项目标任务的完成。</w:t>
      </w:r>
    </w:p>
    <w:p>
      <w:pPr>
        <w:bidi w:val="0"/>
        <w:ind w:firstLine="640" w:firstLineChars="200"/>
        <w:rPr>
          <w:rFonts w:hint="eastAsia"/>
          <w:lang w:val="zh-CN"/>
        </w:rPr>
      </w:pPr>
      <w:r>
        <w:rPr>
          <w:rFonts w:hint="eastAsia"/>
          <w:lang w:val="zh-CN"/>
        </w:rPr>
        <w:t>（2）机关厉行节约</w:t>
      </w:r>
    </w:p>
    <w:p>
      <w:pPr>
        <w:bidi w:val="0"/>
        <w:ind w:firstLine="640" w:firstLineChars="200"/>
        <w:rPr>
          <w:rFonts w:hint="eastAsia"/>
        </w:rPr>
      </w:pPr>
      <w:r>
        <w:rPr>
          <w:rFonts w:hint="eastAsia"/>
          <w:lang w:val="en-US" w:eastAsia="zh-CN"/>
        </w:rPr>
        <w:t>县总工会</w:t>
      </w:r>
      <w:r>
        <w:rPr>
          <w:rFonts w:hint="eastAsia"/>
        </w:rPr>
        <w:t>制定</w:t>
      </w:r>
      <w:r>
        <w:rPr>
          <w:rFonts w:hint="eastAsia"/>
          <w:lang w:val="en-US" w:eastAsia="zh-CN"/>
        </w:rPr>
        <w:t>了</w:t>
      </w:r>
      <w:r>
        <w:rPr>
          <w:rFonts w:hint="eastAsia"/>
        </w:rPr>
        <w:t>《</w:t>
      </w:r>
      <w:r>
        <w:rPr>
          <w:rFonts w:hint="eastAsia"/>
          <w:lang w:val="en-US" w:eastAsia="zh-CN"/>
        </w:rPr>
        <w:t>泸县总工会</w:t>
      </w:r>
      <w:r>
        <w:rPr>
          <w:rFonts w:hint="eastAsia"/>
        </w:rPr>
        <w:t>内部控制制度》，在保证单位正常工作需要和人员经费的前提下，严格控制“三公”经费和会议费支出。</w:t>
      </w:r>
      <w:r>
        <w:rPr>
          <w:rFonts w:hint="eastAsia"/>
          <w:lang w:eastAsia="zh-CN"/>
        </w:rPr>
        <w:t>2022</w:t>
      </w:r>
      <w:r>
        <w:rPr>
          <w:rFonts w:hint="eastAsia"/>
        </w:rPr>
        <w:t>年度我</w:t>
      </w:r>
      <w:r>
        <w:rPr>
          <w:rFonts w:hint="eastAsia"/>
          <w:lang w:val="en-US" w:eastAsia="zh-CN"/>
        </w:rPr>
        <w:t>单位</w:t>
      </w:r>
      <w:r>
        <w:rPr>
          <w:rFonts w:hint="eastAsia"/>
        </w:rPr>
        <w:t>无</w:t>
      </w:r>
      <w:r>
        <w:rPr>
          <w:rFonts w:hint="eastAsia"/>
          <w:lang w:val="zh-CN"/>
        </w:rPr>
        <w:t>因公出国（境）费用、无车辆购置及运行费用的发生。</w:t>
      </w:r>
      <w:r>
        <w:rPr>
          <w:rFonts w:hint="eastAsia"/>
        </w:rPr>
        <w:t>公务接待费</w:t>
      </w:r>
      <w:r>
        <w:rPr>
          <w:rFonts w:hint="eastAsia"/>
          <w:lang w:val="en-US" w:eastAsia="zh-CN"/>
        </w:rPr>
        <w:t>1.2万</w:t>
      </w:r>
      <w:r>
        <w:rPr>
          <w:rFonts w:hint="eastAsia"/>
        </w:rPr>
        <w:t>元</w:t>
      </w:r>
      <w:r>
        <w:rPr>
          <w:rFonts w:hint="eastAsia"/>
          <w:lang w:eastAsia="zh-CN"/>
        </w:rPr>
        <w:t>，</w:t>
      </w:r>
      <w:r>
        <w:rPr>
          <w:rFonts w:hint="eastAsia"/>
          <w:lang w:val="en-US" w:eastAsia="zh-CN"/>
        </w:rPr>
        <w:t>同比上一年减少0.2万元</w:t>
      </w:r>
      <w:r>
        <w:rPr>
          <w:rFonts w:hint="eastAsia"/>
        </w:rPr>
        <w:t>。</w:t>
      </w:r>
    </w:p>
    <w:p>
      <w:pPr>
        <w:widowControl/>
        <w:autoSpaceDE/>
        <w:autoSpaceDN/>
        <w:snapToGrid w:val="0"/>
        <w:spacing w:line="560" w:lineRule="exact"/>
        <w:ind w:firstLine="643" w:firstLineChars="200"/>
        <w:jc w:val="both"/>
        <w:rPr>
          <w:rFonts w:hint="eastAsia" w:ascii="仿宋" w:hAnsi="仿宋" w:eastAsia="仿宋" w:cs="仿宋"/>
          <w:b/>
          <w:color w:val="000000"/>
          <w:sz w:val="32"/>
          <w:szCs w:val="32"/>
          <w:shd w:val="clear" w:color="auto" w:fill="FFFFFF"/>
          <w:lang w:val="zh-CN"/>
        </w:rPr>
      </w:pPr>
      <w:r>
        <w:rPr>
          <w:rFonts w:hint="eastAsia" w:ascii="仿宋" w:hAnsi="仿宋" w:eastAsia="仿宋" w:cs="仿宋"/>
          <w:b/>
          <w:color w:val="000000"/>
          <w:sz w:val="32"/>
          <w:szCs w:val="32"/>
          <w:shd w:val="clear" w:color="auto" w:fill="FFFFFF"/>
          <w:lang w:val="zh-CN"/>
        </w:rPr>
        <w:t xml:space="preserve"> 2</w:t>
      </w:r>
      <w:r>
        <w:rPr>
          <w:rFonts w:hint="eastAsia" w:ascii="仿宋" w:hAnsi="仿宋" w:cs="仿宋"/>
          <w:b/>
          <w:color w:val="000000"/>
          <w:sz w:val="32"/>
          <w:szCs w:val="32"/>
          <w:shd w:val="clear" w:color="auto" w:fill="FFFFFF"/>
          <w:lang w:val="en-US" w:eastAsia="zh-CN"/>
        </w:rPr>
        <w:t>.</w:t>
      </w:r>
      <w:r>
        <w:rPr>
          <w:rFonts w:hint="eastAsia" w:ascii="仿宋" w:hAnsi="仿宋" w:eastAsia="仿宋" w:cs="仿宋"/>
          <w:b/>
          <w:color w:val="000000"/>
          <w:sz w:val="32"/>
          <w:szCs w:val="32"/>
          <w:shd w:val="clear" w:color="auto" w:fill="FFFFFF"/>
          <w:lang w:val="zh-CN"/>
        </w:rPr>
        <w:t>项目支出绩效</w:t>
      </w:r>
    </w:p>
    <w:p>
      <w:pPr>
        <w:bidi w:val="0"/>
        <w:ind w:firstLine="640" w:firstLineChars="200"/>
        <w:rPr>
          <w:rFonts w:hint="eastAsia"/>
          <w:lang w:val="zh-CN"/>
        </w:rPr>
      </w:pPr>
      <w:r>
        <w:rPr>
          <w:rFonts w:hint="eastAsia"/>
          <w:lang w:val="zh-CN"/>
        </w:rPr>
        <w:t>（1）项目资金管理情况。</w:t>
      </w:r>
    </w:p>
    <w:p>
      <w:pPr>
        <w:bidi w:val="0"/>
        <w:ind w:firstLine="640" w:firstLineChars="200"/>
        <w:rPr>
          <w:rFonts w:hint="eastAsia"/>
        </w:rPr>
      </w:pPr>
      <w:r>
        <w:rPr>
          <w:rFonts w:hint="eastAsia"/>
        </w:rPr>
        <w:t>我单位</w:t>
      </w:r>
      <w:r>
        <w:rPr>
          <w:rFonts w:hint="eastAsia"/>
          <w:lang w:eastAsia="zh-CN"/>
        </w:rPr>
        <w:t>2022</w:t>
      </w:r>
      <w:r>
        <w:rPr>
          <w:rFonts w:hint="eastAsia"/>
        </w:rPr>
        <w:t>年预算项目</w:t>
      </w:r>
      <w:r>
        <w:rPr>
          <w:rFonts w:hint="eastAsia"/>
          <w:lang w:val="en-US" w:eastAsia="zh-CN"/>
        </w:rPr>
        <w:t>1</w:t>
      </w:r>
      <w:r>
        <w:rPr>
          <w:rFonts w:hint="eastAsia"/>
        </w:rPr>
        <w:t>项，项目预算资金总额共计</w:t>
      </w:r>
      <w:r>
        <w:rPr>
          <w:rFonts w:hint="eastAsia"/>
          <w:lang w:val="en-US" w:eastAsia="zh-CN"/>
        </w:rPr>
        <w:t>82.93</w:t>
      </w:r>
      <w:r>
        <w:rPr>
          <w:rFonts w:hint="eastAsia"/>
        </w:rPr>
        <w:t>万元。我单位都是严格按照预算项目资金的使用范围和用途高效合理地使用资金。</w:t>
      </w:r>
    </w:p>
    <w:p>
      <w:pPr>
        <w:bidi w:val="0"/>
        <w:ind w:firstLine="640" w:firstLineChars="200"/>
        <w:rPr>
          <w:rFonts w:hint="eastAsia"/>
          <w:lang w:val="zh-CN"/>
        </w:rPr>
      </w:pPr>
      <w:r>
        <w:rPr>
          <w:rFonts w:hint="eastAsia"/>
          <w:lang w:val="zh-CN"/>
        </w:rPr>
        <w:t>（</w:t>
      </w:r>
      <w:r>
        <w:rPr>
          <w:rFonts w:hint="eastAsia"/>
          <w:lang w:val="en-US" w:eastAsia="zh-CN"/>
        </w:rPr>
        <w:t>2</w:t>
      </w:r>
      <w:r>
        <w:rPr>
          <w:rFonts w:hint="eastAsia"/>
          <w:lang w:val="zh-CN"/>
        </w:rPr>
        <w:t>）绩效目标完成情况。</w:t>
      </w:r>
    </w:p>
    <w:p>
      <w:pPr>
        <w:bidi w:val="0"/>
        <w:ind w:firstLine="640" w:firstLineChars="200"/>
        <w:rPr>
          <w:rFonts w:hint="eastAsia"/>
        </w:rPr>
      </w:pPr>
      <w:r>
        <w:rPr>
          <w:rFonts w:hint="eastAsia"/>
          <w:lang w:eastAsia="zh-CN"/>
        </w:rPr>
        <w:t>2022</w:t>
      </w:r>
      <w:r>
        <w:rPr>
          <w:rFonts w:hint="eastAsia"/>
        </w:rPr>
        <w:t>年，本部门在</w:t>
      </w:r>
      <w:r>
        <w:rPr>
          <w:rFonts w:hint="eastAsia"/>
          <w:lang w:eastAsia="zh-CN"/>
        </w:rPr>
        <w:t>2022</w:t>
      </w:r>
      <w:r>
        <w:rPr>
          <w:rFonts w:hint="eastAsia"/>
        </w:rPr>
        <w:t>年度部门决算中</w:t>
      </w:r>
      <w:r>
        <w:rPr>
          <w:rFonts w:hint="eastAsia"/>
          <w:lang w:val="en-US" w:eastAsia="zh-CN"/>
        </w:rPr>
        <w:t>1</w:t>
      </w:r>
      <w:r>
        <w:rPr>
          <w:rFonts w:hint="eastAsia"/>
        </w:rPr>
        <w:t>个项目绩效目标实际完成情况。</w:t>
      </w:r>
    </w:p>
    <w:p>
      <w:pPr>
        <w:bidi w:val="0"/>
        <w:ind w:firstLine="640" w:firstLineChars="200"/>
        <w:rPr>
          <w:rFonts w:hint="eastAsia"/>
          <w:lang w:val="en-US" w:eastAsia="zh-CN"/>
        </w:rPr>
      </w:pPr>
      <w:r>
        <w:rPr>
          <w:rFonts w:hint="eastAsia"/>
          <w:lang w:val="en-US" w:eastAsia="zh-CN"/>
        </w:rPr>
        <w:t>项目名称：困难职工救助项目</w:t>
      </w:r>
    </w:p>
    <w:p>
      <w:pPr>
        <w:bidi w:val="0"/>
        <w:ind w:firstLine="640" w:firstLineChars="200"/>
        <w:rPr>
          <w:rFonts w:hint="eastAsia"/>
        </w:rPr>
      </w:pPr>
      <w:r>
        <w:rPr>
          <w:rFonts w:hint="eastAsia"/>
        </w:rPr>
        <w:t>绩效目标完成情况综述</w:t>
      </w:r>
      <w:r>
        <w:rPr>
          <w:rFonts w:hint="eastAsia"/>
          <w:lang w:eastAsia="zh-CN"/>
        </w:rPr>
        <w:t>：</w:t>
      </w:r>
      <w:r>
        <w:rPr>
          <w:rFonts w:hint="eastAsia"/>
        </w:rPr>
        <w:t>项目全年预算数</w:t>
      </w:r>
      <w:r>
        <w:rPr>
          <w:rFonts w:hint="eastAsia"/>
          <w:lang w:val="en-US" w:eastAsia="zh-CN"/>
        </w:rPr>
        <w:t>82.93</w:t>
      </w:r>
      <w:r>
        <w:rPr>
          <w:rFonts w:hint="eastAsia"/>
        </w:rPr>
        <w:t>万元，执行数为</w:t>
      </w:r>
      <w:r>
        <w:rPr>
          <w:rFonts w:hint="eastAsia"/>
          <w:lang w:val="en-US" w:eastAsia="zh-CN"/>
        </w:rPr>
        <w:t>82.93</w:t>
      </w:r>
      <w:r>
        <w:rPr>
          <w:rFonts w:hint="eastAsia"/>
        </w:rPr>
        <w:t>万元，完成预算的</w:t>
      </w:r>
      <w:r>
        <w:rPr>
          <w:rFonts w:hint="eastAsia"/>
          <w:lang w:val="en-US" w:eastAsia="zh-CN"/>
        </w:rPr>
        <w:t>100</w:t>
      </w:r>
      <w:r>
        <w:rPr>
          <w:rFonts w:hint="eastAsia"/>
        </w:rPr>
        <w:t>%。通过项目实施，加大对</w:t>
      </w:r>
      <w:r>
        <w:rPr>
          <w:rFonts w:hint="eastAsia"/>
          <w:lang w:val="en-US" w:eastAsia="zh-CN"/>
        </w:rPr>
        <w:t>困难</w:t>
      </w:r>
      <w:r>
        <w:rPr>
          <w:rFonts w:hint="eastAsia"/>
        </w:rPr>
        <w:t>职工的</w:t>
      </w:r>
      <w:r>
        <w:rPr>
          <w:rFonts w:hint="eastAsia"/>
          <w:lang w:val="en-US" w:eastAsia="zh-CN"/>
        </w:rPr>
        <w:t>救助</w:t>
      </w:r>
      <w:r>
        <w:rPr>
          <w:rFonts w:hint="eastAsia"/>
        </w:rPr>
        <w:t>、帮扶力度，切实维护广大职工的合法权益。</w:t>
      </w:r>
    </w:p>
    <w:p>
      <w:pPr>
        <w:widowControl/>
        <w:autoSpaceDE/>
        <w:autoSpaceDN/>
        <w:snapToGrid w:val="0"/>
        <w:spacing w:line="578" w:lineRule="exact"/>
        <w:ind w:firstLine="643" w:firstLineChars="200"/>
        <w:jc w:val="both"/>
        <w:rPr>
          <w:rFonts w:hint="eastAsia" w:ascii="方正楷体简体" w:hAnsi="方正楷体简体" w:eastAsia="方正楷体简体" w:cs="方正楷体简体"/>
          <w:b/>
          <w:color w:val="000000"/>
          <w:sz w:val="32"/>
          <w:szCs w:val="32"/>
          <w:shd w:val="clear" w:color="auto" w:fill="FFFFFF"/>
          <w:lang w:val="zh-CN"/>
        </w:rPr>
      </w:pPr>
      <w:r>
        <w:rPr>
          <w:rFonts w:hint="eastAsia" w:ascii="方正楷体简体" w:hAnsi="方正楷体简体" w:eastAsia="方正楷体简体" w:cs="方正楷体简体"/>
          <w:b/>
          <w:color w:val="000000"/>
          <w:sz w:val="32"/>
          <w:szCs w:val="32"/>
          <w:shd w:val="clear" w:color="auto" w:fill="FFFFFF"/>
          <w:lang w:val="zh-CN"/>
        </w:rPr>
        <w:t>（四）财务管理情况。</w:t>
      </w:r>
    </w:p>
    <w:p>
      <w:pPr>
        <w:bidi w:val="0"/>
        <w:ind w:firstLine="640" w:firstLineChars="200"/>
        <w:rPr>
          <w:rFonts w:hint="eastAsia"/>
          <w:lang w:eastAsia="zh-CN"/>
        </w:rPr>
      </w:pPr>
      <w:r>
        <w:rPr>
          <w:rFonts w:hint="eastAsia"/>
        </w:rPr>
        <w:t>1</w:t>
      </w:r>
      <w:r>
        <w:rPr>
          <w:rFonts w:hint="eastAsia"/>
          <w:lang w:val="en-US" w:eastAsia="zh-CN"/>
        </w:rPr>
        <w:t>.</w:t>
      </w:r>
      <w:r>
        <w:rPr>
          <w:rFonts w:hint="eastAsia"/>
        </w:rPr>
        <w:t>我</w:t>
      </w:r>
      <w:r>
        <w:rPr>
          <w:rFonts w:hint="eastAsia"/>
          <w:lang w:val="en-US" w:eastAsia="zh-CN"/>
        </w:rPr>
        <w:t>单位</w:t>
      </w:r>
      <w:r>
        <w:rPr>
          <w:rFonts w:hint="eastAsia"/>
        </w:rPr>
        <w:t>制定了《</w:t>
      </w:r>
      <w:r>
        <w:rPr>
          <w:rFonts w:hint="eastAsia"/>
          <w:lang w:val="en-US" w:eastAsia="zh-CN"/>
        </w:rPr>
        <w:t>泸州</w:t>
      </w:r>
      <w:r>
        <w:rPr>
          <w:rFonts w:hint="eastAsia"/>
          <w:lang w:eastAsia="zh-CN"/>
        </w:rPr>
        <w:t>市</w:t>
      </w:r>
      <w:r>
        <w:rPr>
          <w:rFonts w:hint="eastAsia"/>
          <w:lang w:val="en-US" w:eastAsia="zh-CN"/>
        </w:rPr>
        <w:t>泸</w:t>
      </w:r>
      <w:r>
        <w:rPr>
          <w:rFonts w:hint="eastAsia"/>
          <w:lang w:eastAsia="zh-CN"/>
        </w:rPr>
        <w:t>县</w:t>
      </w:r>
      <w:r>
        <w:rPr>
          <w:rFonts w:hint="eastAsia"/>
          <w:lang w:val="en-US" w:eastAsia="zh-CN"/>
        </w:rPr>
        <w:t>总工会</w:t>
      </w:r>
      <w:r>
        <w:rPr>
          <w:rFonts w:hint="eastAsia"/>
        </w:rPr>
        <w:t>内部控制</w:t>
      </w:r>
      <w:r>
        <w:rPr>
          <w:rFonts w:hint="eastAsia"/>
          <w:lang w:val="en-US" w:eastAsia="zh-CN"/>
        </w:rPr>
        <w:t>制度</w:t>
      </w:r>
      <w:r>
        <w:rPr>
          <w:rFonts w:hint="eastAsia"/>
        </w:rPr>
        <w:t>》，并严格执行《行政单位会计制度</w:t>
      </w:r>
      <w:r>
        <w:rPr>
          <w:rFonts w:hint="eastAsia"/>
          <w:lang w:eastAsia="zh-CN"/>
        </w:rPr>
        <w:t>》《</w:t>
      </w:r>
      <w:r>
        <w:rPr>
          <w:rFonts w:hint="eastAsia" w:ascii="仿宋" w:hAnsi="仿宋" w:eastAsia="仿宋" w:cs="仿宋"/>
          <w:color w:val="000000"/>
          <w:sz w:val="32"/>
          <w:szCs w:val="32"/>
        </w:rPr>
        <w:t>中华人民共和国</w:t>
      </w:r>
      <w:r>
        <w:rPr>
          <w:rFonts w:hint="eastAsia"/>
          <w:lang w:val="en-US" w:eastAsia="zh-CN"/>
        </w:rPr>
        <w:t>工会</w:t>
      </w:r>
      <w:r>
        <w:rPr>
          <w:rFonts w:hint="eastAsia"/>
        </w:rPr>
        <w:t>法》等，规范账务处理，会计凭证和财务报告真实完整，不做假账。加强三公经费管理，严格控制三公经费支出，明确一般性支出的开支范围和标准，严格报账审核。公务接待、会议费、差旅费严格按</w:t>
      </w:r>
      <w:r>
        <w:rPr>
          <w:rFonts w:hint="eastAsia"/>
          <w:lang w:val="en-US" w:eastAsia="zh-CN"/>
        </w:rPr>
        <w:t>泸</w:t>
      </w:r>
      <w:r>
        <w:rPr>
          <w:rFonts w:hint="eastAsia"/>
          <w:lang w:eastAsia="zh-CN"/>
        </w:rPr>
        <w:t>县</w:t>
      </w:r>
      <w:r>
        <w:rPr>
          <w:rFonts w:hint="eastAsia"/>
        </w:rPr>
        <w:t>党政机关公务接待、会议费、差旅费管理办法执行。</w:t>
      </w:r>
      <w:bookmarkStart w:id="43" w:name="_GoBack"/>
      <w:bookmarkEnd w:id="43"/>
    </w:p>
    <w:p>
      <w:pPr>
        <w:bidi w:val="0"/>
        <w:ind w:firstLine="640" w:firstLineChars="200"/>
        <w:rPr>
          <w:rFonts w:hint="eastAsia"/>
        </w:rPr>
      </w:pPr>
      <w:r>
        <w:rPr>
          <w:rFonts w:hint="eastAsia"/>
        </w:rPr>
        <w:t>2</w:t>
      </w:r>
      <w:r>
        <w:rPr>
          <w:rFonts w:hint="eastAsia"/>
          <w:lang w:val="en-US" w:eastAsia="zh-CN"/>
        </w:rPr>
        <w:t>.</w:t>
      </w:r>
      <w:r>
        <w:rPr>
          <w:rFonts w:hint="eastAsia"/>
        </w:rPr>
        <w:t>遵守财经法规，严格财经纪律，依法接受财政、审计、巡察和社会各界的监督，按时上报各项报表及自查报告。</w:t>
      </w:r>
    </w:p>
    <w:p>
      <w:pPr>
        <w:widowControl/>
        <w:autoSpaceDE/>
        <w:autoSpaceDN/>
        <w:snapToGrid w:val="0"/>
        <w:spacing w:line="578" w:lineRule="exact"/>
        <w:ind w:firstLine="640" w:firstLineChars="200"/>
        <w:jc w:val="both"/>
        <w:outlineLvl w:val="1"/>
        <w:rPr>
          <w:rFonts w:hint="eastAsia" w:ascii="黑体" w:hAnsi="黑体" w:eastAsia="黑体" w:cs="黑体"/>
          <w:color w:val="000000"/>
          <w:sz w:val="32"/>
          <w:szCs w:val="32"/>
          <w:shd w:val="clear" w:color="auto" w:fill="FFFFFF"/>
        </w:rPr>
      </w:pPr>
      <w:bookmarkStart w:id="27" w:name="_Toc32657"/>
      <w:bookmarkStart w:id="28" w:name="_Toc3740"/>
      <w:r>
        <w:rPr>
          <w:rFonts w:hint="eastAsia" w:ascii="黑体" w:hAnsi="黑体" w:eastAsia="黑体" w:cs="黑体"/>
          <w:color w:val="000000"/>
          <w:sz w:val="32"/>
          <w:szCs w:val="32"/>
          <w:shd w:val="clear" w:color="auto" w:fill="FFFFFF"/>
        </w:rPr>
        <w:t>四、评价结论及建议</w:t>
      </w:r>
      <w:bookmarkEnd w:id="27"/>
      <w:bookmarkEnd w:id="28"/>
    </w:p>
    <w:p>
      <w:pPr>
        <w:widowControl/>
        <w:autoSpaceDE/>
        <w:autoSpaceDN/>
        <w:snapToGrid w:val="0"/>
        <w:spacing w:line="578" w:lineRule="exact"/>
        <w:ind w:firstLine="643" w:firstLineChars="200"/>
        <w:jc w:val="both"/>
        <w:rPr>
          <w:rFonts w:hint="eastAsia" w:ascii="方正楷体简体" w:hAnsi="方正楷体简体" w:eastAsia="方正楷体简体" w:cs="方正楷体简体"/>
          <w:b/>
          <w:color w:val="000000"/>
          <w:sz w:val="32"/>
          <w:szCs w:val="32"/>
          <w:shd w:val="clear" w:color="auto" w:fill="FFFFFF"/>
          <w:lang w:val="zh-CN"/>
        </w:rPr>
      </w:pPr>
      <w:r>
        <w:rPr>
          <w:rFonts w:hint="eastAsia" w:ascii="方正楷体简体" w:hAnsi="方正楷体简体" w:eastAsia="方正楷体简体" w:cs="方正楷体简体"/>
          <w:b/>
          <w:color w:val="000000"/>
          <w:sz w:val="32"/>
          <w:szCs w:val="32"/>
          <w:shd w:val="clear" w:color="auto" w:fill="FFFFFF"/>
          <w:lang w:val="zh-CN"/>
        </w:rPr>
        <w:t>（一）评价结论</w:t>
      </w:r>
    </w:p>
    <w:p>
      <w:pPr>
        <w:widowControl/>
        <w:autoSpaceDE/>
        <w:autoSpaceDN/>
        <w:snapToGrid w:val="0"/>
        <w:spacing w:line="578" w:lineRule="exact"/>
        <w:ind w:firstLine="640" w:firstLineChars="200"/>
        <w:jc w:val="both"/>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我</w:t>
      </w:r>
      <w:r>
        <w:rPr>
          <w:rFonts w:hint="eastAsia" w:ascii="华文仿宋" w:hAnsi="华文仿宋" w:eastAsia="华文仿宋" w:cs="华文仿宋"/>
          <w:sz w:val="32"/>
          <w:szCs w:val="32"/>
          <w:lang w:val="en-US" w:eastAsia="zh-CN"/>
        </w:rPr>
        <w:t>单位</w:t>
      </w:r>
      <w:r>
        <w:rPr>
          <w:rFonts w:hint="eastAsia" w:ascii="华文仿宋" w:hAnsi="华文仿宋" w:eastAsia="华文仿宋" w:cs="华文仿宋"/>
          <w:sz w:val="32"/>
          <w:szCs w:val="32"/>
          <w:lang w:val="zh-CN"/>
        </w:rPr>
        <w:t>在资金预算编制、预算执行、综合管理、整体绩效四个方面，均按照国家政策法规规定，结合本单位实际情况及相关规定严格执行，</w:t>
      </w:r>
      <w:r>
        <w:rPr>
          <w:rFonts w:hint="eastAsia" w:ascii="华文仿宋" w:hAnsi="华文仿宋" w:eastAsia="华文仿宋" w:cs="华文仿宋"/>
          <w:sz w:val="32"/>
          <w:szCs w:val="32"/>
        </w:rPr>
        <w:t>完成了部门职能职责，实现了较高的工作效率和支出绩效</w:t>
      </w:r>
      <w:r>
        <w:rPr>
          <w:rFonts w:hint="eastAsia" w:ascii="华文仿宋" w:hAnsi="华文仿宋" w:eastAsia="华文仿宋" w:cs="华文仿宋"/>
          <w:sz w:val="32"/>
          <w:szCs w:val="32"/>
          <w:lang w:val="zh-CN"/>
        </w:rPr>
        <w:t>。我</w:t>
      </w:r>
      <w:r>
        <w:rPr>
          <w:rFonts w:hint="eastAsia" w:ascii="华文仿宋" w:hAnsi="华文仿宋" w:eastAsia="华文仿宋" w:cs="华文仿宋"/>
          <w:sz w:val="32"/>
          <w:szCs w:val="32"/>
          <w:lang w:val="en-US" w:eastAsia="zh-CN"/>
        </w:rPr>
        <w:t>单位</w:t>
      </w:r>
      <w:r>
        <w:rPr>
          <w:rFonts w:hint="eastAsia" w:ascii="华文仿宋" w:hAnsi="华文仿宋" w:eastAsia="华文仿宋" w:cs="华文仿宋"/>
          <w:sz w:val="32"/>
          <w:szCs w:val="32"/>
          <w:lang w:val="zh-CN"/>
        </w:rPr>
        <w:t>总体评价为良。我单位“县级部门预算整体绩效评价指标体系”，合计总得分</w:t>
      </w:r>
      <w:r>
        <w:rPr>
          <w:rFonts w:hint="eastAsia" w:ascii="华文仿宋" w:hAnsi="华文仿宋" w:eastAsia="华文仿宋" w:cs="华文仿宋"/>
          <w:sz w:val="32"/>
          <w:szCs w:val="32"/>
          <w:lang w:val="en-US" w:eastAsia="zh-CN"/>
        </w:rPr>
        <w:t>98.6</w:t>
      </w:r>
      <w:r>
        <w:rPr>
          <w:rFonts w:hint="eastAsia" w:ascii="华文仿宋" w:hAnsi="华文仿宋" w:eastAsia="华文仿宋" w:cs="华文仿宋"/>
          <w:sz w:val="32"/>
          <w:szCs w:val="32"/>
          <w:lang w:val="zh-CN"/>
        </w:rPr>
        <w:t>分。</w:t>
      </w:r>
    </w:p>
    <w:p>
      <w:pPr>
        <w:widowControl/>
        <w:autoSpaceDE/>
        <w:autoSpaceDN/>
        <w:snapToGrid w:val="0"/>
        <w:spacing w:line="578" w:lineRule="exact"/>
        <w:ind w:firstLine="643" w:firstLineChars="200"/>
        <w:jc w:val="both"/>
        <w:rPr>
          <w:rFonts w:hint="eastAsia" w:ascii="方正楷体简体" w:hAnsi="方正楷体简体" w:eastAsia="方正楷体简体" w:cs="方正楷体简体"/>
          <w:b/>
          <w:color w:val="000000"/>
          <w:sz w:val="32"/>
          <w:szCs w:val="32"/>
          <w:shd w:val="clear" w:color="auto" w:fill="FFFFFF"/>
          <w:lang w:val="zh-CN"/>
        </w:rPr>
      </w:pPr>
      <w:r>
        <w:rPr>
          <w:rFonts w:hint="eastAsia" w:ascii="方正楷体简体" w:hAnsi="方正楷体简体" w:eastAsia="方正楷体简体" w:cs="方正楷体简体"/>
          <w:b/>
          <w:color w:val="000000"/>
          <w:sz w:val="32"/>
          <w:szCs w:val="32"/>
          <w:shd w:val="clear" w:color="auto" w:fill="FFFFFF"/>
          <w:lang w:val="zh-CN"/>
        </w:rPr>
        <w:t>（二）存在问题</w:t>
      </w:r>
    </w:p>
    <w:p>
      <w:pPr>
        <w:autoSpaceDE/>
        <w:autoSpaceDN/>
        <w:snapToGrid w:val="0"/>
        <w:spacing w:line="578" w:lineRule="exact"/>
        <w:ind w:firstLine="640" w:firstLineChars="200"/>
        <w:jc w:val="both"/>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rPr>
        <w:t>财务工作水平有待提高。从2019年1月1日起执行新的理论会计年度后，财务工作人员还需要进一步深入学习，提高财务工作水平。</w:t>
      </w:r>
    </w:p>
    <w:p>
      <w:pPr>
        <w:widowControl/>
        <w:numPr>
          <w:ilvl w:val="0"/>
          <w:numId w:val="0"/>
        </w:numPr>
        <w:autoSpaceDE/>
        <w:autoSpaceDN/>
        <w:snapToGrid w:val="0"/>
        <w:spacing w:line="578" w:lineRule="exact"/>
        <w:ind w:left="643" w:leftChars="0"/>
        <w:jc w:val="both"/>
        <w:rPr>
          <w:rFonts w:hint="eastAsia"/>
        </w:rPr>
      </w:pPr>
      <w:r>
        <w:rPr>
          <w:rFonts w:hint="eastAsia" w:ascii="方正楷体简体" w:hAnsi="方正楷体简体" w:eastAsia="方正楷体简体" w:cs="方正楷体简体"/>
          <w:b/>
          <w:color w:val="000000"/>
          <w:sz w:val="32"/>
          <w:szCs w:val="32"/>
          <w:shd w:val="clear" w:color="auto" w:fill="FFFFFF"/>
          <w:lang w:val="zh-CN"/>
        </w:rPr>
        <w:t>（三）改进建议</w:t>
      </w:r>
    </w:p>
    <w:p>
      <w:pPr>
        <w:pStyle w:val="10"/>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color w:val="000000"/>
          <w:sz w:val="32"/>
          <w:szCs w:val="32"/>
          <w:shd w:val="clear" w:color="auto" w:fill="FFFFFF"/>
        </w:rPr>
      </w:pPr>
      <w:r>
        <w:rPr>
          <w:rFonts w:hint="eastAsia" w:ascii="华文仿宋" w:hAnsi="华文仿宋" w:eastAsia="华文仿宋" w:cs="华文仿宋"/>
          <w:color w:val="000000"/>
          <w:sz w:val="32"/>
          <w:szCs w:val="32"/>
          <w:shd w:val="clear" w:color="auto" w:fill="FFFFFF"/>
        </w:rPr>
        <w:t>严格按照批复预算执行，加强预算绩效管理，增强预算约束力，做好预算项目支出绩效目标及各项绩效指标的细化、量化工作</w:t>
      </w:r>
      <w:r>
        <w:rPr>
          <w:rFonts w:hint="eastAsia" w:ascii="华文仿宋" w:hAnsi="华文仿宋" w:eastAsia="华文仿宋" w:cs="华文仿宋"/>
          <w:color w:val="000000"/>
          <w:sz w:val="32"/>
          <w:szCs w:val="32"/>
          <w:shd w:val="clear" w:color="auto" w:fill="FFFFFF"/>
          <w:lang w:eastAsia="zh-CN"/>
        </w:rPr>
        <w:t>，</w:t>
      </w:r>
      <w:r>
        <w:rPr>
          <w:rFonts w:hint="eastAsia" w:ascii="华文仿宋" w:hAnsi="华文仿宋" w:eastAsia="华文仿宋" w:cs="华文仿宋"/>
          <w:color w:val="000000"/>
          <w:sz w:val="32"/>
          <w:szCs w:val="32"/>
          <w:shd w:val="clear" w:color="auto" w:fill="FFFFFF"/>
        </w:rPr>
        <w:t>用好用活各类财政资金，提高财政资金的使用效益。</w:t>
      </w:r>
    </w:p>
    <w:p>
      <w:pPr>
        <w:pStyle w:val="10"/>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autoSpaceDE/>
        <w:autoSpaceDN/>
        <w:spacing w:line="560" w:lineRule="exact"/>
        <w:jc w:val="both"/>
        <w:rPr>
          <w:rFonts w:hint="eastAsia" w:ascii="华文仿宋" w:hAnsi="华文仿宋" w:eastAsia="华文仿宋" w:cs="华文仿宋"/>
          <w:sz w:val="32"/>
          <w:szCs w:val="32"/>
        </w:rPr>
        <w:sectPr>
          <w:footerReference r:id="rId5" w:type="default"/>
          <w:pgSz w:w="11906" w:h="16838"/>
          <w:pgMar w:top="907" w:right="1361" w:bottom="851" w:left="1361" w:header="851" w:footer="992" w:gutter="0"/>
          <w:lnNumType w:countBy="0" w:distance="360"/>
          <w:pgNumType w:fmt="decimal" w:start="1"/>
          <w:cols w:space="720" w:num="1"/>
          <w:docGrid w:type="lines" w:linePitch="435" w:charSpace="0"/>
        </w:sectPr>
      </w:pPr>
    </w:p>
    <w:p>
      <w:pPr>
        <w:pStyle w:val="4"/>
        <w:bidi w:val="0"/>
        <w:rPr>
          <w:rFonts w:hint="default"/>
          <w:lang w:val="en-US" w:eastAsia="zh-CN"/>
        </w:rPr>
      </w:pPr>
      <w:r>
        <w:rPr>
          <w:rFonts w:hint="eastAsia"/>
          <w:lang w:val="en-US" w:eastAsia="zh-CN"/>
        </w:rPr>
        <w:t>附件2</w:t>
      </w:r>
    </w:p>
    <w:p>
      <w:pPr>
        <w:pStyle w:val="3"/>
        <w:numPr>
          <w:ilvl w:val="0"/>
          <w:numId w:val="0"/>
        </w:numPr>
        <w:bidi w:val="0"/>
        <w:spacing w:line="240" w:lineRule="auto"/>
        <w:ind w:leftChars="0"/>
        <w:jc w:val="both"/>
        <w:outlineLvl w:val="9"/>
        <w:rPr>
          <w:rFonts w:hint="eastAsia"/>
          <w:lang w:val="en-US" w:eastAsia="zh-CN"/>
        </w:rPr>
      </w:pPr>
      <w:r>
        <w:rPr>
          <w:rFonts w:hint="eastAsia"/>
          <w:lang w:val="en-US" w:eastAsia="zh-CN"/>
        </w:rPr>
        <w:drawing>
          <wp:inline distT="0" distB="0" distL="114300" distR="114300">
            <wp:extent cx="6185535" cy="7392670"/>
            <wp:effectExtent l="0" t="0" r="1905" b="13970"/>
            <wp:docPr id="16" name="图片 16" descr="2022年度泸县总工会部门决算公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022年度泸县总工会部门决算公开"/>
                    <pic:cNvPicPr>
                      <a:picLocks noChangeAspect="1"/>
                    </pic:cNvPicPr>
                  </pic:nvPicPr>
                  <pic:blipFill>
                    <a:blip r:embed="rId13"/>
                    <a:srcRect b="7654"/>
                    <a:stretch>
                      <a:fillRect/>
                    </a:stretch>
                  </pic:blipFill>
                  <pic:spPr>
                    <a:xfrm>
                      <a:off x="0" y="0"/>
                      <a:ext cx="6185535" cy="7392670"/>
                    </a:xfrm>
                    <a:prstGeom prst="rect">
                      <a:avLst/>
                    </a:prstGeom>
                  </pic:spPr>
                </pic:pic>
              </a:graphicData>
            </a:graphic>
          </wp:inline>
        </w:drawing>
      </w:r>
    </w:p>
    <w:p>
      <w:pPr>
        <w:pStyle w:val="3"/>
        <w:bidi w:val="0"/>
        <w:rPr>
          <w:rFonts w:hint="default"/>
          <w:lang w:val="en-US" w:eastAsia="zh-CN"/>
        </w:rPr>
      </w:pPr>
      <w:bookmarkStart w:id="29" w:name="_Toc15375"/>
      <w:r>
        <w:rPr>
          <w:rFonts w:hint="eastAsia"/>
          <w:lang w:val="en-US" w:eastAsia="zh-CN"/>
        </w:rPr>
        <w:t>第五部分 附表</w:t>
      </w:r>
      <w:bookmarkEnd w:id="29"/>
    </w:p>
    <w:p>
      <w:pPr>
        <w:pStyle w:val="4"/>
        <w:keepNext w:val="0"/>
        <w:keepLines w:val="0"/>
        <w:pageBreakBefore w:val="0"/>
        <w:widowControl w:val="0"/>
        <w:numPr>
          <w:ilvl w:val="0"/>
          <w:numId w:val="6"/>
        </w:numPr>
        <w:kinsoku/>
        <w:wordWrap/>
        <w:overflowPunct/>
        <w:topLinePunct w:val="0"/>
        <w:autoSpaceDE w:val="0"/>
        <w:autoSpaceDN w:val="0"/>
        <w:bidi w:val="0"/>
        <w:adjustRightInd w:val="0"/>
        <w:snapToGrid/>
        <w:spacing w:line="578" w:lineRule="exact"/>
        <w:textAlignment w:val="auto"/>
        <w:rPr>
          <w:rFonts w:hint="eastAsia" w:ascii="仿宋" w:hAnsi="仿宋"/>
          <w:color w:val="auto"/>
          <w:kern w:val="2"/>
          <w:sz w:val="32"/>
          <w:szCs w:val="24"/>
          <w:lang w:val="en-US" w:eastAsia="zh-CN"/>
        </w:rPr>
      </w:pPr>
      <w:bookmarkStart w:id="30" w:name="_Toc13060"/>
      <w:r>
        <w:rPr>
          <w:rFonts w:hint="eastAsia"/>
          <w:lang w:val="en-US"/>
        </w:rPr>
        <w:t>收入支出决算表</w:t>
      </w:r>
      <w:bookmarkEnd w:id="30"/>
    </w:p>
    <w:p>
      <w:pPr>
        <w:pStyle w:val="4"/>
        <w:keepNext w:val="0"/>
        <w:keepLines w:val="0"/>
        <w:pageBreakBefore w:val="0"/>
        <w:widowControl w:val="0"/>
        <w:numPr>
          <w:ilvl w:val="0"/>
          <w:numId w:val="6"/>
        </w:numPr>
        <w:kinsoku/>
        <w:wordWrap/>
        <w:overflowPunct/>
        <w:topLinePunct w:val="0"/>
        <w:autoSpaceDE w:val="0"/>
        <w:autoSpaceDN w:val="0"/>
        <w:bidi w:val="0"/>
        <w:adjustRightInd w:val="0"/>
        <w:snapToGrid/>
        <w:spacing w:line="578" w:lineRule="exact"/>
        <w:textAlignment w:val="auto"/>
        <w:rPr>
          <w:rFonts w:hint="eastAsia"/>
          <w:lang w:val="en-US"/>
        </w:rPr>
      </w:pPr>
      <w:bookmarkStart w:id="31" w:name="_Toc31532"/>
      <w:r>
        <w:rPr>
          <w:rFonts w:hint="eastAsia"/>
          <w:lang w:val="en-US"/>
        </w:rPr>
        <w:t>收入决算表</w:t>
      </w:r>
      <w:bookmarkEnd w:id="31"/>
    </w:p>
    <w:p>
      <w:pPr>
        <w:pStyle w:val="4"/>
        <w:keepNext w:val="0"/>
        <w:keepLines w:val="0"/>
        <w:pageBreakBefore w:val="0"/>
        <w:widowControl w:val="0"/>
        <w:numPr>
          <w:ilvl w:val="0"/>
          <w:numId w:val="6"/>
        </w:numPr>
        <w:kinsoku/>
        <w:wordWrap/>
        <w:overflowPunct/>
        <w:topLinePunct w:val="0"/>
        <w:autoSpaceDE w:val="0"/>
        <w:autoSpaceDN w:val="0"/>
        <w:bidi w:val="0"/>
        <w:adjustRightInd w:val="0"/>
        <w:snapToGrid/>
        <w:spacing w:line="578" w:lineRule="exact"/>
        <w:textAlignment w:val="auto"/>
        <w:rPr>
          <w:rFonts w:hint="eastAsia"/>
          <w:lang w:val="en-US"/>
        </w:rPr>
      </w:pPr>
      <w:bookmarkStart w:id="32" w:name="_Toc23249"/>
      <w:r>
        <w:rPr>
          <w:rFonts w:hint="eastAsia"/>
          <w:lang w:val="en-US"/>
        </w:rPr>
        <w:t>支出决算表</w:t>
      </w:r>
      <w:bookmarkEnd w:id="32"/>
    </w:p>
    <w:p>
      <w:pPr>
        <w:pStyle w:val="4"/>
        <w:keepNext w:val="0"/>
        <w:keepLines w:val="0"/>
        <w:pageBreakBefore w:val="0"/>
        <w:widowControl w:val="0"/>
        <w:numPr>
          <w:ilvl w:val="0"/>
          <w:numId w:val="6"/>
        </w:numPr>
        <w:kinsoku/>
        <w:wordWrap/>
        <w:overflowPunct/>
        <w:topLinePunct w:val="0"/>
        <w:autoSpaceDE w:val="0"/>
        <w:autoSpaceDN w:val="0"/>
        <w:bidi w:val="0"/>
        <w:adjustRightInd w:val="0"/>
        <w:snapToGrid/>
        <w:spacing w:line="578" w:lineRule="exact"/>
        <w:ind w:left="0" w:leftChars="0" w:firstLine="0" w:firstLineChars="0"/>
        <w:textAlignment w:val="auto"/>
        <w:rPr>
          <w:rFonts w:hint="eastAsia"/>
          <w:lang w:val="en-US"/>
        </w:rPr>
      </w:pPr>
      <w:bookmarkStart w:id="33" w:name="_Toc5625"/>
      <w:r>
        <w:rPr>
          <w:rFonts w:hint="eastAsia"/>
          <w:lang w:val="en-US"/>
        </w:rPr>
        <w:t>财政拨款收入支出决算总表</w:t>
      </w:r>
      <w:bookmarkEnd w:id="33"/>
      <w:bookmarkStart w:id="34" w:name="_Toc3822"/>
    </w:p>
    <w:p>
      <w:pPr>
        <w:pStyle w:val="4"/>
        <w:keepNext w:val="0"/>
        <w:keepLines w:val="0"/>
        <w:pageBreakBefore w:val="0"/>
        <w:widowControl w:val="0"/>
        <w:numPr>
          <w:ilvl w:val="0"/>
          <w:numId w:val="6"/>
        </w:numPr>
        <w:kinsoku/>
        <w:wordWrap/>
        <w:overflowPunct/>
        <w:topLinePunct w:val="0"/>
        <w:autoSpaceDE w:val="0"/>
        <w:autoSpaceDN w:val="0"/>
        <w:bidi w:val="0"/>
        <w:adjustRightInd w:val="0"/>
        <w:snapToGrid/>
        <w:spacing w:line="578" w:lineRule="exact"/>
        <w:ind w:left="0" w:leftChars="0" w:firstLine="0" w:firstLineChars="0"/>
        <w:textAlignment w:val="auto"/>
        <w:rPr>
          <w:rFonts w:hint="eastAsia"/>
          <w:lang w:val="en-US"/>
        </w:rPr>
      </w:pPr>
      <w:r>
        <w:rPr>
          <w:rFonts w:hint="eastAsia"/>
          <w:lang w:val="en-US"/>
        </w:rPr>
        <w:t>财政拨款支出决算明</w:t>
      </w:r>
      <w:bookmarkEnd w:id="34"/>
      <w:bookmarkStart w:id="35" w:name="_Toc15032"/>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leftChars="0"/>
        <w:textAlignment w:val="auto"/>
        <w:rPr>
          <w:rFonts w:hint="eastAsia" w:ascii="仿宋" w:hAnsi="仿宋" w:eastAsia="仿宋" w:cs="仿宋"/>
          <w:color w:val="auto"/>
          <w:kern w:val="2"/>
          <w:sz w:val="36"/>
          <w:szCs w:val="24"/>
          <w:lang w:val="en-US" w:eastAsia="zh-CN"/>
        </w:rPr>
      </w:pPr>
      <w:r>
        <w:rPr>
          <w:rFonts w:hint="eastAsia"/>
        </w:rPr>
        <w:t>六、一般公共预算财政拨款支出决算表</w:t>
      </w:r>
      <w:bookmarkEnd w:id="35"/>
    </w:p>
    <w:p>
      <w:pPr>
        <w:pStyle w:val="4"/>
        <w:keepNext w:val="0"/>
        <w:keepLines w:val="0"/>
        <w:pageBreakBefore w:val="0"/>
        <w:widowControl w:val="0"/>
        <w:kinsoku/>
        <w:wordWrap/>
        <w:overflowPunct/>
        <w:topLinePunct w:val="0"/>
        <w:autoSpaceDE w:val="0"/>
        <w:autoSpaceDN w:val="0"/>
        <w:bidi w:val="0"/>
        <w:adjustRightInd w:val="0"/>
        <w:snapToGrid/>
        <w:spacing w:line="578" w:lineRule="exact"/>
        <w:textAlignment w:val="auto"/>
        <w:rPr>
          <w:rFonts w:hint="eastAsia"/>
        </w:rPr>
      </w:pPr>
      <w:bookmarkStart w:id="36" w:name="_Toc29068"/>
      <w:r>
        <w:rPr>
          <w:rFonts w:hint="eastAsia"/>
        </w:rPr>
        <w:t>七、一般公共预算财政拨款支出决算明细表</w:t>
      </w:r>
      <w:bookmarkEnd w:id="36"/>
    </w:p>
    <w:p>
      <w:pPr>
        <w:pStyle w:val="4"/>
        <w:keepNext w:val="0"/>
        <w:keepLines w:val="0"/>
        <w:pageBreakBefore w:val="0"/>
        <w:widowControl w:val="0"/>
        <w:kinsoku/>
        <w:wordWrap/>
        <w:overflowPunct/>
        <w:topLinePunct w:val="0"/>
        <w:autoSpaceDE w:val="0"/>
        <w:autoSpaceDN w:val="0"/>
        <w:bidi w:val="0"/>
        <w:adjustRightInd w:val="0"/>
        <w:snapToGrid/>
        <w:spacing w:line="578" w:lineRule="exact"/>
        <w:textAlignment w:val="auto"/>
        <w:rPr>
          <w:rFonts w:hint="eastAsia"/>
        </w:rPr>
      </w:pPr>
      <w:bookmarkStart w:id="37" w:name="_Toc25577"/>
      <w:r>
        <w:rPr>
          <w:rFonts w:hint="eastAsia"/>
        </w:rPr>
        <w:t>八、一般公共预算财政拨款基本支出决算</w:t>
      </w:r>
      <w:r>
        <w:rPr>
          <w:rFonts w:hint="eastAsia"/>
          <w:lang w:eastAsia="zh-CN"/>
        </w:rPr>
        <w:t>明细</w:t>
      </w:r>
      <w:r>
        <w:rPr>
          <w:rFonts w:hint="eastAsia"/>
        </w:rPr>
        <w:t>表</w:t>
      </w:r>
      <w:bookmarkEnd w:id="37"/>
    </w:p>
    <w:p>
      <w:pPr>
        <w:pStyle w:val="4"/>
        <w:keepNext w:val="0"/>
        <w:keepLines w:val="0"/>
        <w:pageBreakBefore w:val="0"/>
        <w:widowControl w:val="0"/>
        <w:kinsoku/>
        <w:wordWrap/>
        <w:overflowPunct/>
        <w:topLinePunct w:val="0"/>
        <w:autoSpaceDE w:val="0"/>
        <w:autoSpaceDN w:val="0"/>
        <w:bidi w:val="0"/>
        <w:adjustRightInd w:val="0"/>
        <w:snapToGrid/>
        <w:spacing w:line="578" w:lineRule="exact"/>
        <w:textAlignment w:val="auto"/>
        <w:rPr>
          <w:rFonts w:hint="eastAsia"/>
          <w:color w:val="auto"/>
          <w:sz w:val="24"/>
          <w:highlight w:val="none"/>
        </w:rPr>
      </w:pPr>
      <w:bookmarkStart w:id="38" w:name="_Toc14329"/>
      <w:r>
        <w:rPr>
          <w:rFonts w:hint="eastAsia"/>
        </w:rPr>
        <w:t>九、一般公共预算财政拨款项目支出决算表</w:t>
      </w:r>
      <w:bookmarkEnd w:id="38"/>
    </w:p>
    <w:p>
      <w:pPr>
        <w:pStyle w:val="4"/>
        <w:keepNext w:val="0"/>
        <w:keepLines w:val="0"/>
        <w:pageBreakBefore w:val="0"/>
        <w:widowControl w:val="0"/>
        <w:kinsoku/>
        <w:wordWrap/>
        <w:overflowPunct/>
        <w:topLinePunct w:val="0"/>
        <w:autoSpaceDE w:val="0"/>
        <w:autoSpaceDN w:val="0"/>
        <w:bidi w:val="0"/>
        <w:adjustRightInd w:val="0"/>
        <w:snapToGrid/>
        <w:spacing w:line="578" w:lineRule="exact"/>
        <w:textAlignment w:val="auto"/>
        <w:rPr>
          <w:rFonts w:hint="eastAsia" w:ascii="仿宋" w:hAnsi="仿宋" w:eastAsia="仿宋" w:cs="仿宋"/>
          <w:color w:val="auto"/>
          <w:kern w:val="2"/>
          <w:sz w:val="36"/>
          <w:szCs w:val="24"/>
          <w:lang w:val="en-US" w:eastAsia="zh-CN"/>
        </w:rPr>
      </w:pPr>
      <w:bookmarkStart w:id="39" w:name="_Toc11075"/>
      <w:r>
        <w:rPr>
          <w:rFonts w:hint="eastAsia"/>
        </w:rPr>
        <w:t>十、政府性基金预算财政拨款收入支出决算表</w:t>
      </w:r>
      <w:bookmarkEnd w:id="39"/>
    </w:p>
    <w:p>
      <w:pPr>
        <w:pStyle w:val="4"/>
        <w:keepNext w:val="0"/>
        <w:keepLines w:val="0"/>
        <w:pageBreakBefore w:val="0"/>
        <w:widowControl w:val="0"/>
        <w:kinsoku/>
        <w:wordWrap/>
        <w:overflowPunct/>
        <w:topLinePunct w:val="0"/>
        <w:autoSpaceDE w:val="0"/>
        <w:autoSpaceDN w:val="0"/>
        <w:bidi w:val="0"/>
        <w:adjustRightInd w:val="0"/>
        <w:snapToGrid/>
        <w:spacing w:line="578" w:lineRule="exact"/>
        <w:textAlignment w:val="auto"/>
        <w:rPr>
          <w:rFonts w:hint="eastAsia" w:ascii="仿宋" w:hAnsi="仿宋" w:eastAsia="仿宋" w:cs="仿宋"/>
          <w:color w:val="auto"/>
          <w:kern w:val="2"/>
          <w:sz w:val="36"/>
          <w:szCs w:val="24"/>
          <w:lang w:val="en-US" w:eastAsia="zh-CN"/>
        </w:rPr>
      </w:pPr>
      <w:bookmarkStart w:id="40" w:name="_Toc28710"/>
      <w:r>
        <w:rPr>
          <w:rFonts w:hint="eastAsia"/>
        </w:rPr>
        <w:t>十一、国有资本经营预算财政拨款收入支出决算表</w:t>
      </w:r>
      <w:bookmarkEnd w:id="40"/>
    </w:p>
    <w:p>
      <w:pPr>
        <w:pStyle w:val="4"/>
        <w:keepNext w:val="0"/>
        <w:keepLines w:val="0"/>
        <w:pageBreakBefore w:val="0"/>
        <w:widowControl w:val="0"/>
        <w:kinsoku/>
        <w:wordWrap/>
        <w:overflowPunct/>
        <w:topLinePunct w:val="0"/>
        <w:autoSpaceDE w:val="0"/>
        <w:autoSpaceDN w:val="0"/>
        <w:bidi w:val="0"/>
        <w:adjustRightInd w:val="0"/>
        <w:snapToGrid/>
        <w:spacing w:line="578" w:lineRule="exact"/>
        <w:textAlignment w:val="auto"/>
        <w:rPr>
          <w:rFonts w:hint="eastAsia" w:ascii="仿宋" w:hAnsi="仿宋" w:eastAsia="仿宋" w:cs="仿宋"/>
          <w:color w:val="auto"/>
          <w:kern w:val="2"/>
          <w:sz w:val="36"/>
          <w:szCs w:val="24"/>
          <w:lang w:val="en-US" w:eastAsia="zh-CN"/>
        </w:rPr>
      </w:pPr>
      <w:bookmarkStart w:id="41" w:name="_Toc15779"/>
      <w:r>
        <w:rPr>
          <w:rFonts w:hint="eastAsia"/>
        </w:rPr>
        <w:t>十二、</w:t>
      </w:r>
      <w:r>
        <w:rPr>
          <w:rFonts w:hint="eastAsia"/>
          <w:lang w:val="en-US" w:eastAsia="zh-CN"/>
        </w:rPr>
        <w:t>国有资本经营预算财政拨款支出决算表</w:t>
      </w:r>
      <w:bookmarkEnd w:id="41"/>
    </w:p>
    <w:p>
      <w:pPr>
        <w:pStyle w:val="4"/>
        <w:keepNext w:val="0"/>
        <w:keepLines w:val="0"/>
        <w:pageBreakBefore w:val="0"/>
        <w:widowControl w:val="0"/>
        <w:kinsoku/>
        <w:wordWrap/>
        <w:overflowPunct/>
        <w:topLinePunct w:val="0"/>
        <w:autoSpaceDE w:val="0"/>
        <w:autoSpaceDN w:val="0"/>
        <w:bidi w:val="0"/>
        <w:adjustRightInd w:val="0"/>
        <w:snapToGrid/>
        <w:spacing w:line="578" w:lineRule="exact"/>
        <w:textAlignment w:val="auto"/>
        <w:rPr>
          <w:rFonts w:hint="eastAsia"/>
          <w:lang w:val="en-US" w:eastAsia="zh-CN"/>
        </w:rPr>
      </w:pPr>
      <w:bookmarkStart w:id="42" w:name="_Toc22379"/>
      <w:r>
        <w:rPr>
          <w:rFonts w:hint="eastAsia"/>
        </w:rPr>
        <w:t>十三、财政拨款“三公”经费支出决算表</w:t>
      </w:r>
      <w:bookmarkEnd w:id="42"/>
    </w:p>
    <w:p>
      <w:pPr>
        <w:pStyle w:val="2"/>
        <w:spacing w:line="240" w:lineRule="auto"/>
        <w:rPr>
          <w:rFonts w:hint="eastAsia" w:ascii="仿宋" w:hAnsi="仿宋" w:eastAsia="仿宋" w:cs="仿宋"/>
          <w:color w:val="auto"/>
          <w:kern w:val="2"/>
          <w:sz w:val="36"/>
          <w:szCs w:val="24"/>
          <w:lang w:val="en-US" w:eastAsia="zh-CN"/>
        </w:rPr>
      </w:pPr>
    </w:p>
    <w:sectPr>
      <w:type w:val="continuous"/>
      <w:pgSz w:w="12240" w:h="15840"/>
      <w:pgMar w:top="1786" w:right="1440" w:bottom="1786" w:left="1440" w:header="720" w:footer="720"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方正楷体简体">
    <w:altName w:val="宋体"/>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8114"/>
        <w:tab w:val="clear" w:pos="4153"/>
      </w:tabs>
      <w:ind w:right="360"/>
      <w:rPr>
        <w:rFonts w:hint="eastAsia"/>
        <w:sz w:val="18"/>
        <w:szCs w:val="24"/>
      </w:rPr>
    </w:pPr>
    <w:r>
      <w:rPr>
        <w:rFonts w:hint="eastAsia" w:eastAsia="宋体"/>
        <w:sz w:val="18"/>
        <w:szCs w:val="24"/>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hint="eastAsia"/>
        <w:sz w:val="18"/>
        <w:szCs w:val="24"/>
      </w:rPr>
    </w:pPr>
    <w:r>
      <w:rPr>
        <w:rFonts w:hint="default" w:eastAsia="宋体"/>
        <w:sz w:val="1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rPr>
                              <w:rFonts w:hint="eastAsia" w:eastAsia="仿宋_GB2312"/>
                              <w:sz w:val="24"/>
                              <w:szCs w:val="24"/>
                              <w:lang w:eastAsia="zh-CN"/>
                            </w:rPr>
                          </w:pPr>
                          <w:r>
                            <w:rPr>
                              <w:rFonts w:hint="eastAsia" w:eastAsia="仿宋_GB2312"/>
                              <w:sz w:val="24"/>
                              <w:szCs w:val="24"/>
                              <w:lang w:eastAsia="zh-CN"/>
                            </w:rPr>
                            <w:t xml:space="preserve">第 </w:t>
                          </w:r>
                          <w:r>
                            <w:rPr>
                              <w:rFonts w:hint="eastAsia" w:eastAsia="仿宋_GB2312"/>
                              <w:sz w:val="24"/>
                              <w:szCs w:val="24"/>
                              <w:lang w:eastAsia="zh-CN"/>
                            </w:rPr>
                            <w:fldChar w:fldCharType="begin"/>
                          </w:r>
                          <w:r>
                            <w:rPr>
                              <w:rFonts w:hint="eastAsia" w:eastAsia="仿宋_GB2312"/>
                              <w:sz w:val="24"/>
                              <w:szCs w:val="24"/>
                              <w:lang w:eastAsia="zh-CN"/>
                            </w:rPr>
                            <w:instrText xml:space="preserve"> PAGE  \* MERGEFORMAT </w:instrText>
                          </w:r>
                          <w:r>
                            <w:rPr>
                              <w:rFonts w:hint="eastAsia" w:eastAsia="仿宋_GB2312"/>
                              <w:sz w:val="24"/>
                              <w:szCs w:val="24"/>
                              <w:lang w:eastAsia="zh-CN"/>
                            </w:rPr>
                            <w:fldChar w:fldCharType="separate"/>
                          </w:r>
                          <w:r>
                            <w:rPr>
                              <w:rFonts w:hint="eastAsia" w:eastAsia="仿宋_GB2312"/>
                              <w:sz w:val="24"/>
                              <w:szCs w:val="24"/>
                              <w:lang w:eastAsia="zh-CN"/>
                            </w:rPr>
                            <w:t>- 1 -</w:t>
                          </w:r>
                          <w:r>
                            <w:rPr>
                              <w:rFonts w:hint="eastAsia" w:eastAsia="仿宋_GB2312"/>
                              <w:sz w:val="24"/>
                              <w:szCs w:val="24"/>
                              <w:lang w:eastAsia="zh-CN"/>
                            </w:rPr>
                            <w:fldChar w:fldCharType="end"/>
                          </w:r>
                          <w:r>
                            <w:rPr>
                              <w:rFonts w:hint="eastAsia" w:eastAsia="仿宋_GB2312"/>
                              <w:sz w:val="24"/>
                              <w:szCs w:val="24"/>
                              <w:lang w:eastAsia="zh-CN"/>
                            </w:rPr>
                            <w:t xml:space="preserve"> 页 共 </w:t>
                          </w:r>
                          <w:r>
                            <w:rPr>
                              <w:rFonts w:hint="eastAsia" w:eastAsia="仿宋_GB2312"/>
                              <w:sz w:val="24"/>
                              <w:szCs w:val="24"/>
                              <w:lang w:val="en-US" w:eastAsia="zh-CN"/>
                            </w:rPr>
                            <w:t>19</w:t>
                          </w:r>
                          <w:r>
                            <w:rPr>
                              <w:rFonts w:hint="eastAsia" w:eastAsia="仿宋_GB2312"/>
                              <w:sz w:val="24"/>
                              <w:szCs w:val="24"/>
                              <w:lang w:eastAsia="zh-CN"/>
                            </w:rPr>
                            <w:t xml:space="preserve"> 页</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0lY7tAAAAAFAQAADwAAAAAAAAABACAAAAAiAAAAZHJzL2Rvd25y&#10;ZXYueG1sUEsBAhQAFAAAAAgAh07iQE1U8lLNAQAAegMAAA4AAAAAAAAAAQAgAAAAHwEAAGRycy9l&#10;Mm9Eb2MueG1sUEsFBgAAAAAGAAYAWQEAAF4FAAAAAA==&#10;">
              <v:fill on="f" focussize="0,0"/>
              <v:stroke on="f" weight="0.5pt"/>
              <v:imagedata o:title=""/>
              <o:lock v:ext="edit" aspectratio="f"/>
              <v:textbox inset="0mm,0mm,0mm,0mm" style="mso-fit-shape-to-text:t;">
                <w:txbxContent>
                  <w:p>
                    <w:pPr>
                      <w:pStyle w:val="9"/>
                      <w:rPr>
                        <w:rFonts w:hint="eastAsia" w:eastAsia="仿宋_GB2312"/>
                        <w:sz w:val="24"/>
                        <w:szCs w:val="24"/>
                        <w:lang w:eastAsia="zh-CN"/>
                      </w:rPr>
                    </w:pPr>
                    <w:r>
                      <w:rPr>
                        <w:rFonts w:hint="eastAsia" w:eastAsia="仿宋_GB2312"/>
                        <w:sz w:val="24"/>
                        <w:szCs w:val="24"/>
                        <w:lang w:eastAsia="zh-CN"/>
                      </w:rPr>
                      <w:t xml:space="preserve">第 </w:t>
                    </w:r>
                    <w:r>
                      <w:rPr>
                        <w:rFonts w:hint="eastAsia" w:eastAsia="仿宋_GB2312"/>
                        <w:sz w:val="24"/>
                        <w:szCs w:val="24"/>
                        <w:lang w:eastAsia="zh-CN"/>
                      </w:rPr>
                      <w:fldChar w:fldCharType="begin"/>
                    </w:r>
                    <w:r>
                      <w:rPr>
                        <w:rFonts w:hint="eastAsia" w:eastAsia="仿宋_GB2312"/>
                        <w:sz w:val="24"/>
                        <w:szCs w:val="24"/>
                        <w:lang w:eastAsia="zh-CN"/>
                      </w:rPr>
                      <w:instrText xml:space="preserve"> PAGE  \* MERGEFORMAT </w:instrText>
                    </w:r>
                    <w:r>
                      <w:rPr>
                        <w:rFonts w:hint="eastAsia" w:eastAsia="仿宋_GB2312"/>
                        <w:sz w:val="24"/>
                        <w:szCs w:val="24"/>
                        <w:lang w:eastAsia="zh-CN"/>
                      </w:rPr>
                      <w:fldChar w:fldCharType="separate"/>
                    </w:r>
                    <w:r>
                      <w:rPr>
                        <w:rFonts w:hint="eastAsia" w:eastAsia="仿宋_GB2312"/>
                        <w:sz w:val="24"/>
                        <w:szCs w:val="24"/>
                        <w:lang w:eastAsia="zh-CN"/>
                      </w:rPr>
                      <w:t>- 1 -</w:t>
                    </w:r>
                    <w:r>
                      <w:rPr>
                        <w:rFonts w:hint="eastAsia" w:eastAsia="仿宋_GB2312"/>
                        <w:sz w:val="24"/>
                        <w:szCs w:val="24"/>
                        <w:lang w:eastAsia="zh-CN"/>
                      </w:rPr>
                      <w:fldChar w:fldCharType="end"/>
                    </w:r>
                    <w:r>
                      <w:rPr>
                        <w:rFonts w:hint="eastAsia" w:eastAsia="仿宋_GB2312"/>
                        <w:sz w:val="24"/>
                        <w:szCs w:val="24"/>
                        <w:lang w:eastAsia="zh-CN"/>
                      </w:rPr>
                      <w:t xml:space="preserve"> 页 共 </w:t>
                    </w:r>
                    <w:r>
                      <w:rPr>
                        <w:rFonts w:hint="eastAsia" w:eastAsia="仿宋_GB2312"/>
                        <w:sz w:val="24"/>
                        <w:szCs w:val="24"/>
                        <w:lang w:val="en-US" w:eastAsia="zh-CN"/>
                      </w:rPr>
                      <w:t>19</w:t>
                    </w:r>
                    <w:r>
                      <w:rPr>
                        <w:rFonts w:hint="eastAsia" w:eastAsia="仿宋_GB2312"/>
                        <w:sz w:val="24"/>
                        <w:szCs w:val="24"/>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hint="eastAsia"/>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A5745"/>
    <w:multiLevelType w:val="multilevel"/>
    <w:tmpl w:val="9A9A5745"/>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8C0B822"/>
    <w:multiLevelType w:val="multilevel"/>
    <w:tmpl w:val="08C0B822"/>
    <w:lvl w:ilvl="0" w:tentative="0">
      <w:start w:val="4"/>
      <w:numFmt w:val="chineseCounting"/>
      <w:suff w:val="space"/>
      <w:lvlText w:val="第%1部分"/>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16A78060"/>
    <w:multiLevelType w:val="multilevel"/>
    <w:tmpl w:val="16A78060"/>
    <w:lvl w:ilvl="0" w:tentative="0">
      <w:start w:val="1"/>
      <w:numFmt w:val="chineseCounting"/>
      <w:suff w:val="nothing"/>
      <w:lvlText w:val="（%1）"/>
      <w:lvlJc w:val="left"/>
      <w:pPr>
        <w:ind w:left="0" w:firstLine="643"/>
      </w:pPr>
      <w:rPr>
        <w:rFonts w:hint="eastAsia" w:ascii="方正楷体简体" w:hAnsi="方正楷体简体" w:eastAsia="方正楷体简体" w:cs="方正楷体简体"/>
        <w:b/>
        <w:bCs/>
        <w:sz w:val="32"/>
        <w:szCs w:val="32"/>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3861C53A"/>
    <w:multiLevelType w:val="singleLevel"/>
    <w:tmpl w:val="3861C53A"/>
    <w:lvl w:ilvl="0" w:tentative="0">
      <w:start w:val="8"/>
      <w:numFmt w:val="chineseCounting"/>
      <w:suff w:val="nothing"/>
      <w:lvlText w:val="%1、"/>
      <w:lvlJc w:val="left"/>
      <w:rPr>
        <w:rFonts w:hint="eastAsia"/>
      </w:rPr>
    </w:lvl>
  </w:abstractNum>
  <w:abstractNum w:abstractNumId="4">
    <w:nsid w:val="47995FFD"/>
    <w:multiLevelType w:val="singleLevel"/>
    <w:tmpl w:val="47995FFD"/>
    <w:lvl w:ilvl="0" w:tentative="0">
      <w:start w:val="1"/>
      <w:numFmt w:val="chineseCounting"/>
      <w:suff w:val="nothing"/>
      <w:lvlText w:val="%1、"/>
      <w:lvlJc w:val="left"/>
      <w:rPr>
        <w:rFonts w:hint="eastAsia"/>
      </w:rPr>
    </w:lvl>
  </w:abstractNum>
  <w:abstractNum w:abstractNumId="5">
    <w:nsid w:val="4DFD05BA"/>
    <w:multiLevelType w:val="singleLevel"/>
    <w:tmpl w:val="4DFD05BA"/>
    <w:lvl w:ilvl="0" w:tentative="0">
      <w:start w:val="2"/>
      <w:numFmt w:val="chineseCounting"/>
      <w:suff w:val="nothing"/>
      <w:lvlText w:val="%1、"/>
      <w:lvlJc w:val="left"/>
      <w:rPr>
        <w:rFonts w:hint="eastAsia"/>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ZDg0ZWUwM2FlMWMxZmQ2ZjhhNGZiYmQ5YmRmZTQifQ=="/>
  </w:docVars>
  <w:rsids>
    <w:rsidRoot w:val="00172A27"/>
    <w:rsid w:val="048E5950"/>
    <w:rsid w:val="08BA402E"/>
    <w:rsid w:val="090E3CD6"/>
    <w:rsid w:val="0DB26CFE"/>
    <w:rsid w:val="0EF7045B"/>
    <w:rsid w:val="140E4D59"/>
    <w:rsid w:val="17AA78CE"/>
    <w:rsid w:val="1A663B0F"/>
    <w:rsid w:val="229A12D1"/>
    <w:rsid w:val="2AE0672E"/>
    <w:rsid w:val="3E7527E9"/>
    <w:rsid w:val="40273670"/>
    <w:rsid w:val="4BA0782A"/>
    <w:rsid w:val="4F326AE7"/>
    <w:rsid w:val="5599380D"/>
    <w:rsid w:val="62335017"/>
    <w:rsid w:val="62667A19"/>
    <w:rsid w:val="66FD698E"/>
    <w:rsid w:val="693F1B84"/>
    <w:rsid w:val="698C182D"/>
    <w:rsid w:val="7BFB0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0" w:semiHidden="0" w:name="header"/>
    <w:lsdException w:qFormat="1" w:uiPriority="0"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line="578" w:lineRule="exact"/>
    </w:pPr>
    <w:rPr>
      <w:rFonts w:hint="default" w:ascii="Times New Roman" w:hAnsi="Times New Roman" w:eastAsia="仿宋" w:cs="Times New Roman"/>
      <w:sz w:val="32"/>
      <w:szCs w:val="24"/>
    </w:rPr>
  </w:style>
  <w:style w:type="paragraph" w:styleId="3">
    <w:name w:val="heading 1"/>
    <w:next w:val="1"/>
    <w:unhideWhenUsed/>
    <w:qFormat/>
    <w:uiPriority w:val="99"/>
    <w:pPr>
      <w:widowControl w:val="0"/>
      <w:autoSpaceDE w:val="0"/>
      <w:autoSpaceDN w:val="0"/>
      <w:adjustRightInd w:val="0"/>
      <w:snapToGrid w:val="0"/>
      <w:spacing w:line="578" w:lineRule="exact"/>
      <w:jc w:val="center"/>
      <w:outlineLvl w:val="0"/>
    </w:pPr>
    <w:rPr>
      <w:rFonts w:hint="default" w:ascii="Times New Roman" w:hAnsi="Times New Roman" w:eastAsia="黑体" w:cs="Times New Roman"/>
      <w:sz w:val="44"/>
      <w:szCs w:val="24"/>
    </w:rPr>
  </w:style>
  <w:style w:type="paragraph" w:styleId="4">
    <w:name w:val="heading 2"/>
    <w:next w:val="1"/>
    <w:link w:val="21"/>
    <w:unhideWhenUsed/>
    <w:qFormat/>
    <w:uiPriority w:val="99"/>
    <w:pPr>
      <w:widowControl w:val="0"/>
      <w:autoSpaceDE w:val="0"/>
      <w:autoSpaceDN w:val="0"/>
      <w:adjustRightInd w:val="0"/>
      <w:outlineLvl w:val="1"/>
    </w:pPr>
    <w:rPr>
      <w:rFonts w:hint="default" w:ascii="Times New Roman" w:hAnsi="Times New Roman" w:eastAsia="黑体" w:cs="Times New Roman"/>
      <w:snapToGrid w:val="0"/>
      <w:sz w:val="32"/>
      <w:szCs w:val="24"/>
    </w:rPr>
  </w:style>
  <w:style w:type="paragraph" w:styleId="5">
    <w:name w:val="heading 3"/>
    <w:basedOn w:val="1"/>
    <w:next w:val="1"/>
    <w:qFormat/>
    <w:uiPriority w:val="99"/>
    <w:pPr>
      <w:keepNext/>
      <w:keepLines/>
      <w:spacing w:before="260" w:beforeLines="0" w:beforeAutospacing="0" w:after="260" w:afterLines="0" w:afterAutospacing="0" w:line="413" w:lineRule="auto"/>
      <w:outlineLvl w:val="2"/>
    </w:pPr>
    <w:rPr>
      <w:rFonts w:eastAsia="仿宋"/>
      <w:b/>
      <w:sz w:val="32"/>
    </w:rPr>
  </w:style>
  <w:style w:type="character" w:default="1" w:styleId="15">
    <w:name w:val="Default Paragraph Font"/>
    <w:unhideWhenUsed/>
    <w:qFormat/>
    <w:uiPriority w:val="99"/>
    <w:rPr>
      <w:rFonts w:hint="default"/>
      <w:sz w:val="24"/>
      <w:szCs w:val="24"/>
    </w:rPr>
  </w:style>
  <w:style w:type="table" w:default="1" w:styleId="18">
    <w:name w:val="Normal Table"/>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before="30" w:beforeLines="30"/>
    </w:pPr>
    <w:rPr>
      <w:rFonts w:hint="eastAsia" w:ascii="仿宋_GB2312" w:hAnsi="仿宋_GB2312" w:eastAsia="仿宋"/>
      <w:sz w:val="32"/>
    </w:rPr>
  </w:style>
  <w:style w:type="paragraph" w:styleId="6">
    <w:name w:val="annotation text"/>
    <w:basedOn w:val="1"/>
    <w:qFormat/>
    <w:uiPriority w:val="99"/>
    <w:pPr>
      <w:jc w:val="left"/>
    </w:pPr>
  </w:style>
  <w:style w:type="paragraph" w:styleId="7">
    <w:name w:val="Body Text Indent"/>
    <w:basedOn w:val="1"/>
    <w:qFormat/>
    <w:uiPriority w:val="0"/>
    <w:pPr>
      <w:spacing w:after="120"/>
      <w:ind w:leftChars="200"/>
    </w:pPr>
    <w:rPr>
      <w:rFonts w:ascii="仿宋_GB2312"/>
      <w:szCs w:val="32"/>
    </w:rPr>
  </w:style>
  <w:style w:type="paragraph" w:styleId="8">
    <w:name w:val="Plain Text"/>
    <w:basedOn w:val="1"/>
    <w:unhideWhenUsed/>
    <w:qFormat/>
    <w:uiPriority w:val="0"/>
    <w:pPr>
      <w:adjustRightInd/>
      <w:jc w:val="both"/>
    </w:pPr>
    <w:rPr>
      <w:rFonts w:hint="eastAsia" w:ascii="宋体" w:hAnsi="Courier New" w:eastAsia="宋体" w:cs="Courier New"/>
      <w:sz w:val="21"/>
      <w:szCs w:val="21"/>
    </w:rPr>
  </w:style>
  <w:style w:type="paragraph" w:styleId="9">
    <w:name w:val="footer"/>
    <w:basedOn w:val="1"/>
    <w:unhideWhenUsed/>
    <w:qFormat/>
    <w:uiPriority w:val="0"/>
    <w:pPr>
      <w:tabs>
        <w:tab w:val="center" w:pos="4153"/>
        <w:tab w:val="right" w:pos="8306"/>
      </w:tabs>
      <w:snapToGrid w:val="0"/>
    </w:pPr>
    <w:rPr>
      <w:rFonts w:hint="eastAsia" w:ascii="Times New Roman" w:hAnsi="Times New Roman" w:eastAsia="Times New Roman"/>
      <w:sz w:val="18"/>
      <w:szCs w:val="24"/>
    </w:rPr>
  </w:style>
  <w:style w:type="paragraph" w:styleId="10">
    <w:name w:val="Body Text First Indent 2"/>
    <w:basedOn w:val="7"/>
    <w:unhideWhenUsed/>
    <w:qFormat/>
    <w:uiPriority w:val="99"/>
    <w:pPr>
      <w:ind w:firstLine="420" w:firstLineChars="200"/>
    </w:p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hint="eastAsia" w:ascii="Times New Roman" w:hAnsi="Times New Roman" w:eastAsia="Times New Roman"/>
      <w:sz w:val="18"/>
      <w:szCs w:val="24"/>
    </w:rPr>
  </w:style>
  <w:style w:type="paragraph" w:styleId="12">
    <w:name w:val="toc 1"/>
    <w:basedOn w:val="1"/>
    <w:next w:val="1"/>
    <w:qFormat/>
    <w:uiPriority w:val="99"/>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0"/>
    <w:rPr>
      <w:rFonts w:hint="default"/>
      <w:sz w:val="24"/>
      <w:szCs w:val="24"/>
    </w:rPr>
  </w:style>
  <w:style w:type="character" w:styleId="16">
    <w:name w:val="Strong"/>
    <w:basedOn w:val="15"/>
    <w:unhideWhenUsed/>
    <w:qFormat/>
    <w:uiPriority w:val="99"/>
    <w:rPr>
      <w:rFonts w:hint="default" w:cs="Times New Roman"/>
      <w:b/>
      <w:sz w:val="24"/>
      <w:szCs w:val="24"/>
    </w:rPr>
  </w:style>
  <w:style w:type="character" w:styleId="17">
    <w:name w:val="page number"/>
    <w:basedOn w:val="15"/>
    <w:unhideWhenUsed/>
    <w:qFormat/>
    <w:uiPriority w:val="0"/>
    <w:rPr>
      <w:rFonts w:hint="default"/>
      <w:sz w:val="24"/>
      <w:szCs w:val="24"/>
    </w:rPr>
  </w:style>
  <w:style w:type="paragraph" w:customStyle="1" w:styleId="19">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character" w:customStyle="1" w:styleId="20">
    <w:name w:val="font61"/>
    <w:basedOn w:val="15"/>
    <w:unhideWhenUsed/>
    <w:qFormat/>
    <w:uiPriority w:val="0"/>
    <w:rPr>
      <w:rFonts w:hint="eastAsia" w:ascii="宋体" w:hAnsi="宋体" w:eastAsia="宋体" w:cs="宋体"/>
      <w:color w:val="000000"/>
      <w:sz w:val="32"/>
      <w:szCs w:val="32"/>
    </w:rPr>
  </w:style>
  <w:style w:type="character" w:customStyle="1" w:styleId="21">
    <w:name w:val="标题 2 Char"/>
    <w:link w:val="4"/>
    <w:qFormat/>
    <w:uiPriority w:val="99"/>
    <w:rPr>
      <w:rFonts w:hint="default" w:ascii="Times New Roman" w:hAnsi="Times New Roman" w:eastAsia="黑体" w:cs="Times New Roman"/>
      <w:snapToGrid w:val="0"/>
      <w:sz w:val="32"/>
      <w:szCs w:val="24"/>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7417</Words>
  <Characters>8450</Characters>
  <TotalTime>0</TotalTime>
  <ScaleCrop>false</ScaleCrop>
  <LinksUpToDate>false</LinksUpToDate>
  <CharactersWithSpaces>8954</CharactersWithSpaces>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2023-10-12T03:54:00Z</dcterms:created>
  <dc:creator>dell1</dc:creator>
  <cp:lastModifiedBy>张永</cp:lastModifiedBy>
  <cp:lastPrinted>2023-10-24T06:45:00Z</cp:lastPrinted>
  <dcterms:modified xsi:type="dcterms:W3CDTF">2023-12-20T08:40:58Z</dcterms:modified>
  <dc:title>2022年度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127ED85D3CD841808DE6082CB0AFE93C_12</vt:lpwstr>
  </property>
</Properties>
</file>